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766E"/>
          <w:sz w:val="28"/>
        </w:rPr>
        <w:t>EcoConnect Global Ltd.</w:t>
      </w:r>
    </w:p>
    <w:p>
      <w:pPr>
        <w:jc w:val="center"/>
      </w:pPr>
      <w:r>
        <w:rPr>
          <w:b/>
          <w:color w:val="0F172A"/>
          <w:sz w:val="52"/>
        </w:rPr>
        <w:t>SWOT Analysis</w:t>
      </w:r>
    </w:p>
    <w:p>
      <w:pPr>
        <w:jc w:val="center"/>
      </w:pPr>
      <w:r>
        <w:rPr>
          <w:color w:val="475569"/>
          <w:sz w:val="24"/>
        </w:rPr>
        <w:t>Transparent, data-driven marketplace infrastructure for verified carbon credits</w:t>
      </w:r>
    </w:p>
    <w:p>
      <w:pPr>
        <w:jc w:val="center"/>
      </w:pPr>
      <w:r>
        <w:rPr>
          <w:i/>
          <w:color w:val="64748B"/>
          <w:sz w:val="20"/>
        </w:rPr>
        <w:t>Grant Application Support Document</w:t>
      </w:r>
    </w:p>
    <w:p/>
    <w:p>
      <w:pPr>
        <w:jc w:val="center"/>
      </w:pPr>
      <w:r>
        <w:rPr>
          <w:color w:val="64748B"/>
          <w:sz w:val="20"/>
        </w:rPr>
        <w:t>Prepared: May 19,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0FDFA"/>
          </w:tcPr>
          <w:p>
            <w:pPr>
              <w:jc w:val="center"/>
            </w:pPr>
            <w:r/>
            <w:r>
              <w:rPr>
                <w:color w:val="0F766E"/>
                <w:sz w:val="20"/>
              </w:rPr>
              <w:t>Draft status: grant-ready structure with explicit placeholders. Final submission requires applicant verification, legal review, program-specific eligibility review, and replacement of all missing data.</w:t>
            </w:r>
          </w:p>
        </w:tc>
      </w:tr>
    </w:tbl>
    <w:p>
      <w:r>
        <w:br w:type="page"/>
      </w:r>
    </w:p>
    <w:p>
      <w:pPr>
        <w:pStyle w:val="Heading1"/>
      </w:pPr>
      <w:r>
        <w:t>SWOT Analysis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328"/>
            <w:vAlign w:val="top"/>
            <w:shd w:fill="0F766E"/>
          </w:tcPr>
          <w:p>
            <w:r/>
            <w:r>
              <w:rPr>
                <w:b/>
                <w:color w:val="FFFFFF"/>
                <w:sz w:val="16"/>
              </w:rPr>
              <w:t>Strengths</w:t>
            </w:r>
          </w:p>
        </w:tc>
        <w:tc>
          <w:tcPr>
            <w:tcW w:type="dxa" w:w="5328"/>
            <w:vAlign w:val="top"/>
            <w:shd w:fill="0F766E"/>
          </w:tcPr>
          <w:p>
            <w:r/>
            <w:r>
              <w:rPr>
                <w:b/>
                <w:color w:val="FFFFFF"/>
                <w:sz w:val="16"/>
              </w:rPr>
              <w:t>Weaknesses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Strong concept addressing transparency, trust, and accessibility gaps in carbon credit markets.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Current materials are over-promotional and investor-oriented rather than grant-ready.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Digital platform can scale and generate useful audit trails for buyers and project developers.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No confirmed grant program, applicant eligibility, team documentation, or pilot commitments.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Blockchain, AI, analytics, and reporting are aligned with climate-tech and data-infrastructure funding themes.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Financial projections are inconsistent and aggressive in the source files.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Public-benefit case can be built around SME access, market transparency, and better diligence.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Certification and verification claims are not yet supported by accreditation or partnerships.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Opportunities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Threats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Government interest in high-integrity climate finance, transparent carbon markets, and SME sustainability reporting.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VCM reputational risk, methodology scrutiny, and greenwashing enforcement.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CSRD, SECR, and other reporting regimes increase demand for auditable climate data and reporting tools.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Regulatory exposure if transactions are treated as financial, commodities, brokerage, or payment activities.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Project developers need lower-cost access to credible buyers and better documentation workflows.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Established exchanges, registries, ratings providers, and ESG platforms can replicate parts of the model.</w:t>
            </w:r>
          </w:p>
        </w:tc>
      </w:tr>
      <w:tr>
        <w:tc>
          <w:tcPr>
            <w:tcW w:type="dxa" w:w="532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Pilot can produce public learning and measurable transparency outcomes before full commercialization.</w:t>
            </w:r>
          </w:p>
        </w:tc>
        <w:tc>
          <w:tcPr>
            <w:tcW w:type="dxa" w:w="5328"/>
            <w:vAlign w:val="top"/>
          </w:tcPr>
          <w:p>
            <w:r/>
            <w:r>
              <w:rPr>
                <w:b w:val="0"/>
                <w:color w:val="0F172A"/>
                <w:sz w:val="16"/>
              </w:rPr>
              <w:t>Weak evidence of demand or match funding may lead to grant rejection.</w:t>
            </w:r>
          </w:p>
        </w:tc>
      </w:tr>
    </w:tbl>
    <w:p>
      <w:pPr>
        <w:pStyle w:val="Heading2"/>
      </w:pPr>
      <w:r>
        <w:t>Strategic Implications</w:t>
      </w:r>
    </w:p>
    <w:p>
      <w:pPr>
        <w:pStyle w:val="ListBullet"/>
      </w:pPr>
      <w:r>
        <w:t>Lead with transparency, public benefit, and integrity rather than valuation or market dominance.</w:t>
      </w:r>
    </w:p>
    <w:p>
      <w:pPr>
        <w:pStyle w:val="ListBullet"/>
      </w:pPr>
      <w:r>
        <w:t>Use grant funds to validate the model with pilots and independent evaluation before large-scale commercialization.</w:t>
      </w:r>
    </w:p>
    <w:p>
      <w:pPr>
        <w:pStyle w:val="ListBullet"/>
      </w:pPr>
      <w:r>
        <w:t>Narrow the first market to SMEs and tech-forward corporates with concrete reporting needs.</w:t>
      </w:r>
    </w:p>
    <w:p>
      <w:pPr>
        <w:pStyle w:val="ListBullet"/>
      </w:pPr>
      <w:r>
        <w:t>Treat regulatory, claims, and data-rights issues as core design requirements, not afterthoughts.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748B"/>
        <w:sz w:val="16"/>
      </w:rPr>
      <w:t>EcoConnect Global Ltd. | Grant-ready draft | May 19,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64748B"/>
        <w:sz w:val="16"/>
      </w:rPr>
      <w:t>SWOT Analysis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0F766E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134E4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33415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