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766E"/>
          <w:sz w:val="28"/>
        </w:rPr>
        <w:t>EcoConnect Global Ltd.</w:t>
      </w:r>
    </w:p>
    <w:p>
      <w:pPr>
        <w:jc w:val="center"/>
      </w:pPr>
      <w:r>
        <w:rPr>
          <w:b/>
          <w:color w:val="0F172A"/>
          <w:sz w:val="52"/>
        </w:rPr>
        <w:t>Risk Assessment</w:t>
      </w:r>
    </w:p>
    <w:p>
      <w:pPr>
        <w:jc w:val="center"/>
      </w:pPr>
      <w:r>
        <w:rPr>
          <w:color w:val="475569"/>
          <w:sz w:val="24"/>
        </w:rPr>
        <w:t>Transparent, data-driven marketplace infrastructure for verified carbon credits</w:t>
      </w:r>
    </w:p>
    <w:p>
      <w:pPr>
        <w:jc w:val="center"/>
      </w:pPr>
      <w:r>
        <w:rPr>
          <w:i/>
          <w:color w:val="64748B"/>
          <w:sz w:val="20"/>
        </w:rPr>
        <w:t>Grant Application Support Document</w:t>
      </w:r>
    </w:p>
    <w:p/>
    <w:p>
      <w:pPr>
        <w:jc w:val="center"/>
      </w:pPr>
      <w:r>
        <w:rPr>
          <w:color w:val="64748B"/>
          <w:sz w:val="20"/>
        </w:rPr>
        <w:t>Prepared: May 19,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0FDFA"/>
          </w:tcPr>
          <w:p>
            <w:pPr>
              <w:jc w:val="center"/>
            </w:pPr>
            <w:r/>
            <w:r>
              <w:rPr>
                <w:color w:val="0F766E"/>
                <w:sz w:val="20"/>
              </w:rPr>
              <w:t>Draft status: grant-ready structure with explicit placeholders. Final submission requires applicant verification, legal review, program-specific eligibility review, and replacement of all missing data.</w:t>
            </w:r>
          </w:p>
        </w:tc>
      </w:tr>
    </w:tbl>
    <w:p>
      <w:r>
        <w:br w:type="page"/>
      </w:r>
    </w:p>
    <w:p>
      <w:pPr>
        <w:pStyle w:val="Heading1"/>
      </w:pPr>
      <w:r>
        <w:t>Risk Assessment</w:t>
      </w:r>
    </w:p>
    <w:p>
      <w:r>
        <w:rPr>
          <w:b w:val="0"/>
        </w:rPr>
        <w:t>The following risk register is written from the perspective of a skeptical grant evaluator. The highest-risk areas are eligibility, regulatory exposure, carbon credit integrity, unsupported projections, and missing partner commitments.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448"/>
            <w:vAlign w:val="top"/>
            <w:shd w:fill="0F766E"/>
          </w:tcPr>
          <w:p>
            <w:r/>
            <w:r>
              <w:rPr>
                <w:b/>
                <w:color w:val="FFFFFF"/>
                <w:sz w:val="14"/>
              </w:rPr>
              <w:t>Risk</w:t>
            </w:r>
          </w:p>
        </w:tc>
        <w:tc>
          <w:tcPr>
            <w:tcW w:type="dxa" w:w="1080"/>
            <w:vAlign w:val="top"/>
            <w:shd w:fill="0F766E"/>
          </w:tcPr>
          <w:p>
            <w:r/>
            <w:r>
              <w:rPr>
                <w:b/>
                <w:color w:val="FFFFFF"/>
                <w:sz w:val="14"/>
              </w:rPr>
              <w:t>Likelihood</w:t>
            </w:r>
          </w:p>
        </w:tc>
        <w:tc>
          <w:tcPr>
            <w:tcW w:type="dxa" w:w="1080"/>
            <w:vAlign w:val="top"/>
            <w:shd w:fill="0F766E"/>
          </w:tcPr>
          <w:p>
            <w:r/>
            <w:r>
              <w:rPr>
                <w:b/>
                <w:color w:val="FFFFFF"/>
                <w:sz w:val="14"/>
              </w:rPr>
              <w:t>Impact</w:t>
            </w:r>
          </w:p>
        </w:tc>
        <w:tc>
          <w:tcPr>
            <w:tcW w:type="dxa" w:w="4608"/>
            <w:vAlign w:val="top"/>
            <w:shd w:fill="0F766E"/>
          </w:tcPr>
          <w:p>
            <w:r/>
            <w:r>
              <w:rPr>
                <w:b/>
                <w:color w:val="FFFFFF"/>
                <w:sz w:val="14"/>
              </w:rPr>
              <w:t>Mitigation</w:t>
            </w:r>
          </w:p>
        </w:tc>
        <w:tc>
          <w:tcPr>
            <w:tcW w:type="dxa" w:w="1296"/>
            <w:vAlign w:val="top"/>
            <w:shd w:fill="0F766E"/>
          </w:tcPr>
          <w:p>
            <w:r/>
            <w:r>
              <w:rPr>
                <w:b/>
                <w:color w:val="FFFFFF"/>
                <w:sz w:val="14"/>
              </w:rPr>
              <w:t>Residual Risk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 eligibility not confirmed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Confirm legal entity, jurisdiction, and grant program requirements before submission.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Carbon credit integrity concerns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Use ICVCM/VCMI-aligned criteria, independent expert review, transparent methodology, and conservative claims.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Regulatory/licensing exposure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Obtain legal opinion on trading, brokerage, payments, AML/KYC, sanctions, and escrow structures.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Overstated financial projections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Use conservative base case; treat original $120M-$155M Year 5 case as unvalidated upside.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No confirmed pilot customers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Secure LOIs and define pilot recruitment milestones before submission.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Data rights and quality gaps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Document data sources, licenses, registry terms, quality checks, and audit trails.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Cybersecurity/privacy breach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Implement DPIA, encryption, access controls, penetration testing, incident response, and vendor due diligence.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Grant compliance failure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Set up procurement policy, timesheets, segregation of duties, document retention, and audit trail.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Low-Medium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Technology delivery delay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Stage MVP features, use agile delivery, maintain risk register, and prioritize pilot-critical functionality.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Market adoption slower than forecast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Narrow target market, validate pricing, launch pilots, and adjust monetization based on feedback.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Greenwashing or claims misuse by customers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Require claims guidance, disclaimers, VCMI alignment, and customer education.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Competition from exchanges, registries, or ESG platforms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Differentiate through SME access, transparency, documentation, and integrated reporting workflow.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Insufficient match funding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High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Document cash/in-kind match commitments and maintain a cash contingency plan.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Partner dependency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Use multiple data sources, standard APIs, termination clauses, and backup plans.</w:t>
            </w:r>
          </w:p>
        </w:tc>
        <w:tc>
          <w:tcPr>
            <w:tcW w:type="dxa" w:w="1296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Medium</w:t>
            </w:r>
          </w:p>
        </w:tc>
      </w:tr>
    </w:tbl>
    <w:p>
      <w:pPr>
        <w:pStyle w:val="Heading2"/>
      </w:pPr>
      <w:r>
        <w:t>Immediate Risk Reduction Actions</w:t>
      </w:r>
    </w:p>
    <w:p>
      <w:pPr>
        <w:pStyle w:val="ListNumber"/>
      </w:pPr>
      <w:r>
        <w:t>Choose a specific grant program and rewrite the application against that program's scoring rubric.</w:t>
      </w:r>
    </w:p>
    <w:p>
      <w:pPr>
        <w:pStyle w:val="ListNumber"/>
      </w:pPr>
      <w:r>
        <w:t>Replace the $50M equity-investment ask with a phased grant request, match plan, and future financing strategy.</w:t>
      </w:r>
    </w:p>
    <w:p>
      <w:pPr>
        <w:pStyle w:val="ListNumber"/>
      </w:pPr>
      <w:r>
        <w:t>Confirm legal entity, applicant jurisdiction, eligibility, tax status, bank account, and authorized signatory.</w:t>
      </w:r>
    </w:p>
    <w:p>
      <w:pPr>
        <w:pStyle w:val="ListNumber"/>
      </w:pPr>
      <w:r>
        <w:t>Secure signed LOIs from at least 10 pilot buyers, 5 project developers, and 2-3 technical/compliance partners.</w:t>
      </w:r>
    </w:p>
    <w:p>
      <w:pPr>
        <w:pStyle w:val="ListNumber"/>
      </w:pPr>
      <w:r>
        <w:t>Obtain a legal/regulatory memo on carbon credit transactions, AML/KYC, sanctions, consumer claims, and financial services risk.</w:t>
      </w:r>
    </w:p>
    <w:p>
      <w:pPr>
        <w:pStyle w:val="ListNumber"/>
      </w:pPr>
      <w:r>
        <w:t>Replace market-size claims with sourced, segmented data and a bottom-up revenue model.</w:t>
      </w:r>
    </w:p>
    <w:p>
      <w:pPr>
        <w:pStyle w:val="ListNumber"/>
      </w:pPr>
      <w:r>
        <w:t>Stop claiming certification authority unless accreditation or formal partnerships are documented.</w:t>
      </w:r>
    </w:p>
    <w:p>
      <w:pPr>
        <w:pStyle w:val="ListNumber"/>
      </w:pPr>
      <w:r>
        <w:t>Add procurement, financial controls, timesheets, data protection, cybersecurity, conflict-of-interest, and anti-lobbying policies.</w:t>
      </w:r>
    </w:p>
    <w:p>
      <w:pPr>
        <w:pStyle w:val="ListNumber"/>
      </w:pPr>
      <w:r>
        <w:t>Build a credible M&amp;E plan that reports platform outputs and verified retirements without overclaiming emissions reductions.</w:t>
      </w:r>
    </w:p>
    <w:p>
      <w:pPr>
        <w:pStyle w:val="ListNumber"/>
      </w:pPr>
      <w:r>
        <w:t>Add a named management team, advisors, governance structure, and independent evaluator.</w:t>
      </w:r>
    </w:p>
    <w:p>
      <w:pPr>
        <w:pStyle w:val="Heading2"/>
      </w:pPr>
      <w:r>
        <w:t>Source Notes</w:t>
      </w:r>
    </w:p>
    <w:p>
      <w:r>
        <w:rPr>
          <w:b w:val="0"/>
        </w:rPr>
        <w:t>Source documents reviewed:</w:t>
      </w:r>
    </w:p>
    <w:p>
      <w:pPr>
        <w:pStyle w:val="ListBullet"/>
      </w:pPr>
      <w:r>
        <w:t>retirement_idea.docx - concept plan for a global marketplace for carbon credits and sustainability initiatives</w:t>
      </w:r>
    </w:p>
    <w:p>
      <w:pPr>
        <w:pStyle w:val="ListBullet"/>
      </w:pPr>
      <w:r>
        <w:t>retirement_plan.docx - comprehensive business plan for EcoConnect Global Ltd.</w:t>
      </w:r>
    </w:p>
    <w:p>
      <w:pPr>
        <w:pStyle w:val="ListBullet"/>
      </w:pPr>
      <w:r>
        <w:t>retirement_funds_request.docx - detailed $50 million investor-oriented use of funds</w:t>
      </w:r>
    </w:p>
    <w:p>
      <w:r>
        <w:rPr>
          <w:b w:val="0"/>
        </w:rPr>
        <w:t>External market and compliance sources used for sanity-checking and grant framing:</w:t>
      </w:r>
    </w:p>
    <w:p>
      <w:pPr>
        <w:pStyle w:val="ListBullet"/>
      </w:pPr>
      <w:r>
        <w:t>World Bank - State and Trends of Carbon Pricing: https://www.worldbank.org/en/publication/state-and-trends-of-carbon-pricing</w:t>
      </w:r>
    </w:p>
    <w:p>
      <w:pPr>
        <w:pStyle w:val="ListBullet"/>
      </w:pPr>
      <w:r>
        <w:t>Ecosystem Marketplace - 2024 State of the Voluntary Carbon Market / market contraction article: https://www.ecosystemmarketplace.com/articles/report-the-voluntary-carbon-market-contracted-in-2023-driven-by-drop-off-in-transactions-for-redd-and-renewable-energy/</w:t>
      </w:r>
    </w:p>
    <w:p>
      <w:pPr>
        <w:pStyle w:val="ListBullet"/>
      </w:pPr>
      <w:r>
        <w:t>ICVCM - Core Carbon Principles and Assessment Framework: https://icvcm.org/wp-content/uploads/2024/02/CCP-Book-V1.1-FINAL-LowRes-15May24.pdf</w:t>
      </w:r>
    </w:p>
    <w:p>
      <w:pPr>
        <w:pStyle w:val="ListBullet"/>
      </w:pPr>
      <w:r>
        <w:t>VCMI - Claims Code of Practice and MRA framework: https://vcmintegrity.org/vcmi-claims-code-of-practice/</w:t>
      </w:r>
    </w:p>
    <w:p>
      <w:pPr>
        <w:pStyle w:val="ListBullet"/>
      </w:pPr>
      <w:r>
        <w:t>U.S. Treasury - Voluntary Carbon Markets Joint Policy Statement and Principles: https://home.treasury.gov/system/files/136/VCM-Joint-Policy-Statement-and-Principles.pdf</w:t>
      </w:r>
    </w:p>
    <w:p>
      <w:pPr>
        <w:pStyle w:val="ListBullet"/>
      </w:pPr>
      <w:r>
        <w:t>European Commission - Corporate sustainability reporting / CSRD: https://finance.ec.europa.eu/financial-markets/company-reporting-and-auditing/company-reporting/corporate-sustainability-reporting_en</w:t>
      </w:r>
    </w:p>
    <w:p>
      <w:pPr>
        <w:pStyle w:val="ListBullet"/>
      </w:pPr>
      <w:r>
        <w:t>European Commission - EU Emissions Trading System: https://climate.ec.europa.eu/eu-action/carbon-markets/eu-emissions-trading-system-eu-ets_en</w:t>
      </w:r>
    </w:p>
    <w:p>
      <w:pPr>
        <w:pStyle w:val="ListBullet"/>
      </w:pPr>
      <w:r>
        <w:t>GOV.UK - Environmental reporting guidelines including SECR: https://www.gov.uk/government/publications/environmental-reporting-guidelines-including-mandatory-greenhouse-gas-emissions-reporting-guidance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EcoConnect Global Ltd. | Grant-ready draft | May 19,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4748B"/>
        <w:sz w:val="16"/>
      </w:rPr>
      <w:t>Risk Assessment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F766E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134E4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33415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