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F766E"/>
          <w:sz w:val="28"/>
        </w:rPr>
        <w:t>EcoConnect Global Ltd.</w:t>
      </w:r>
    </w:p>
    <w:p>
      <w:pPr>
        <w:jc w:val="center"/>
      </w:pPr>
      <w:r>
        <w:rPr>
          <w:b/>
          <w:color w:val="0F172A"/>
          <w:sz w:val="52"/>
        </w:rPr>
        <w:t>Pitch Deck Outline</w:t>
      </w:r>
    </w:p>
    <w:p>
      <w:pPr>
        <w:jc w:val="center"/>
      </w:pPr>
      <w:r>
        <w:rPr>
          <w:color w:val="475569"/>
          <w:sz w:val="24"/>
        </w:rPr>
        <w:t>Transparent, data-driven marketplace infrastructure for verified carbon credits</w:t>
      </w:r>
    </w:p>
    <w:p>
      <w:pPr>
        <w:jc w:val="center"/>
      </w:pPr>
      <w:r>
        <w:rPr>
          <w:i/>
          <w:color w:val="64748B"/>
          <w:sz w:val="20"/>
        </w:rPr>
        <w:t>Grant Application Support Document</w:t>
      </w:r>
    </w:p>
    <w:p/>
    <w:p>
      <w:pPr>
        <w:jc w:val="center"/>
      </w:pPr>
      <w:r>
        <w:rPr>
          <w:color w:val="64748B"/>
          <w:sz w:val="20"/>
        </w:rPr>
        <w:t>Prepared: May 19, 2026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fill="F0FDFA"/>
          </w:tcPr>
          <w:p>
            <w:pPr>
              <w:jc w:val="center"/>
            </w:pPr>
            <w:r/>
            <w:r>
              <w:rPr>
                <w:color w:val="0F766E"/>
                <w:sz w:val="20"/>
              </w:rPr>
              <w:t>Draft status: grant-ready structure with explicit placeholders. Final submission requires applicant verification, legal review, program-specific eligibility review, and replacement of all missing data.</w:t>
            </w:r>
          </w:p>
        </w:tc>
      </w:tr>
    </w:tbl>
    <w:p>
      <w:r>
        <w:br w:type="page"/>
      </w:r>
    </w:p>
    <w:p>
      <w:pPr>
        <w:pStyle w:val="Heading1"/>
      </w:pPr>
      <w:r>
        <w:t>Pitch Deck Outline</w:t>
      </w:r>
    </w:p>
    <w:p>
      <w:r>
        <w:rPr>
          <w:b w:val="0"/>
        </w:rPr>
        <w:t>This is an outline for a grant/funding pitch deck. It is intentionally less promotional than the source material and focuses on need, public benefit, compliance, implementation, and measurable outcomes.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864"/>
            <w:vAlign w:val="top"/>
            <w:shd w:fill="0F766E"/>
          </w:tcPr>
          <w:p>
            <w:r/>
            <w:r>
              <w:rPr>
                <w:b/>
                <w:color w:val="FFFFFF"/>
                <w:sz w:val="16"/>
              </w:rPr>
              <w:t>Slide</w:t>
            </w:r>
          </w:p>
        </w:tc>
        <w:tc>
          <w:tcPr>
            <w:tcW w:type="dxa" w:w="2880"/>
            <w:vAlign w:val="top"/>
            <w:shd w:fill="0F766E"/>
          </w:tcPr>
          <w:p>
            <w:r/>
            <w:r>
              <w:rPr>
                <w:b/>
                <w:color w:val="FFFFFF"/>
                <w:sz w:val="16"/>
              </w:rPr>
              <w:t>Title</w:t>
            </w:r>
          </w:p>
        </w:tc>
        <w:tc>
          <w:tcPr>
            <w:tcW w:type="dxa" w:w="7488"/>
            <w:vAlign w:val="top"/>
            <w:shd w:fill="0F766E"/>
          </w:tcPr>
          <w:p>
            <w:r/>
            <w:r>
              <w:rPr>
                <w:b/>
                <w:color w:val="FFFFFF"/>
                <w:sz w:val="16"/>
              </w:rPr>
              <w:t>Purpose / Key Points</w:t>
            </w:r>
          </w:p>
        </w:tc>
      </w:tr>
      <w:tr>
        <w:tc>
          <w:tcPr>
            <w:tcW w:type="dxa" w:w="864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1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Title and Ask</w:t>
            </w:r>
          </w:p>
        </w:tc>
        <w:tc>
          <w:tcPr>
            <w:tcW w:type="dxa" w:w="7488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EcoConnect Global; $5M grant request; $1.25M match placeholder; 24-month pilot.</w:t>
            </w:r>
          </w:p>
        </w:tc>
      </w:tr>
      <w:tr>
        <w:tc>
          <w:tcPr>
            <w:tcW w:type="dxa" w:w="864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2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Problem</w:t>
            </w:r>
          </w:p>
        </w:tc>
        <w:tc>
          <w:tcPr>
            <w:tcW w:type="dxa" w:w="7488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Carbon credit markets are fragmented, hard to verify, and difficult for SMEs to navigate.</w:t>
            </w:r>
          </w:p>
        </w:tc>
      </w:tr>
      <w:tr>
        <w:tc>
          <w:tcPr>
            <w:tcW w:type="dxa" w:w="864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3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Why Now</w:t>
            </w:r>
          </w:p>
        </w:tc>
        <w:tc>
          <w:tcPr>
            <w:tcW w:type="dxa" w:w="7488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Carbon pricing/reporting pressure is rising, while VCM trust concerns demand better integrity infrastructure.</w:t>
            </w:r>
          </w:p>
        </w:tc>
      </w:tr>
      <w:tr>
        <w:tc>
          <w:tcPr>
            <w:tcW w:type="dxa" w:w="864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4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Solution</w:t>
            </w:r>
          </w:p>
        </w:tc>
        <w:tc>
          <w:tcPr>
            <w:tcW w:type="dxa" w:w="7488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Transparent marketplace and reporting infrastructure with standardized project data and integrity signals.</w:t>
            </w:r>
          </w:p>
        </w:tc>
      </w:tr>
      <w:tr>
        <w:tc>
          <w:tcPr>
            <w:tcW w:type="dxa" w:w="864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5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Product Workflow</w:t>
            </w:r>
          </w:p>
        </w:tc>
        <w:tc>
          <w:tcPr>
            <w:tcW w:type="dxa" w:w="7488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Ingest and standardize; screen and score; compare; purchase/track; report with audit trail.</w:t>
            </w:r>
          </w:p>
        </w:tc>
      </w:tr>
      <w:tr>
        <w:tc>
          <w:tcPr>
            <w:tcW w:type="dxa" w:w="864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6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Public Benefit</w:t>
            </w:r>
          </w:p>
        </w:tc>
        <w:tc>
          <w:tcPr>
            <w:tcW w:type="dxa" w:w="7488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SME access, project developer visibility, public learning, reduced greenwashing risk.</w:t>
            </w:r>
          </w:p>
        </w:tc>
      </w:tr>
      <w:tr>
        <w:tc>
          <w:tcPr>
            <w:tcW w:type="dxa" w:w="864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7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Integrity and Compliance</w:t>
            </w:r>
          </w:p>
        </w:tc>
        <w:tc>
          <w:tcPr>
            <w:tcW w:type="dxa" w:w="7488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ICVCM/VCMI-informed framework, legal review, claims policy, data protection, cybersecurity.</w:t>
            </w:r>
          </w:p>
        </w:tc>
      </w:tr>
      <w:tr>
        <w:tc>
          <w:tcPr>
            <w:tcW w:type="dxa" w:w="864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8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Pilot Plan</w:t>
            </w:r>
          </w:p>
        </w:tc>
        <w:tc>
          <w:tcPr>
            <w:tcW w:type="dxa" w:w="7488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24-month workplan: MVP, pilots, public beta, independent evaluation.</w:t>
            </w:r>
          </w:p>
        </w:tc>
      </w:tr>
      <w:tr>
        <w:tc>
          <w:tcPr>
            <w:tcW w:type="dxa" w:w="864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9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Budget and Use of Funds</w:t>
            </w:r>
          </w:p>
        </w:tc>
        <w:tc>
          <w:tcPr>
            <w:tcW w:type="dxa" w:w="7488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Budget summary by category; explain why $5M pilot replaces $50M investor ask.</w:t>
            </w:r>
          </w:p>
        </w:tc>
      </w:tr>
      <w:tr>
        <w:tc>
          <w:tcPr>
            <w:tcW w:type="dxa" w:w="864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10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Financial Sustainability</w:t>
            </w:r>
          </w:p>
        </w:tc>
        <w:tc>
          <w:tcPr>
            <w:tcW w:type="dxa" w:w="7488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Subscriptions, API/reporting, diligence support, legally compliant transaction fees.</w:t>
            </w:r>
          </w:p>
        </w:tc>
      </w:tr>
      <w:tr>
        <w:tc>
          <w:tcPr>
            <w:tcW w:type="dxa" w:w="864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11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Team and Partners</w:t>
            </w:r>
          </w:p>
        </w:tc>
        <w:tc>
          <w:tcPr>
            <w:tcW w:type="dxa" w:w="7488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Named team, advisors, LOIs, evaluator - currently placeholders to complete.</w:t>
            </w:r>
          </w:p>
        </w:tc>
      </w:tr>
      <w:tr>
        <w:tc>
          <w:tcPr>
            <w:tcW w:type="dxa" w:w="864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12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Readiness and Next Steps</w:t>
            </w:r>
          </w:p>
        </w:tc>
        <w:tc>
          <w:tcPr>
            <w:tcW w:type="dxa" w:w="7488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Grant readiness score, missing documents, timeline to final submission.</w:t>
            </w:r>
          </w:p>
        </w:tc>
      </w:tr>
    </w:tbl>
    <w:p>
      <w:pPr>
        <w:pStyle w:val="Heading2"/>
      </w:pPr>
      <w:r>
        <w:t>Reviewer Cautions to Address Verbally</w:t>
      </w:r>
    </w:p>
    <w:p>
      <w:pPr>
        <w:pStyle w:val="ListBullet"/>
      </w:pPr>
      <w:r>
        <w:t>Do not lead with billion-dollar valuation or global dominance claims.</w:t>
      </w:r>
    </w:p>
    <w:p>
      <w:pPr>
        <w:pStyle w:val="ListBullet"/>
      </w:pPr>
      <w:r>
        <w:t>Do not say EcoConnect certifies credits unless accreditation or a formal verification partnership exists.</w:t>
      </w:r>
    </w:p>
    <w:p>
      <w:pPr>
        <w:pStyle w:val="ListBullet"/>
      </w:pPr>
      <w:r>
        <w:t>Explain clearly how grant funds create public benefit and why they are not replacing private investment.</w:t>
      </w:r>
    </w:p>
    <w:p>
      <w:pPr>
        <w:pStyle w:val="ListBullet"/>
      </w:pPr>
      <w:r>
        <w:t>Show LOIs, legal review, match evidence, and compliance controls as soon as available.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08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4748B"/>
        <w:sz w:val="16"/>
      </w:rPr>
      <w:t>EcoConnect Global Ltd. | Grant-ready draft | May 19, 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64748B"/>
        <w:sz w:val="16"/>
      </w:rPr>
      <w:t>Pitch Deck Outline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0F766E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 w:eastAsia="Aptos Display"/>
      <w:b/>
      <w:bCs/>
      <w:color w:val="134E4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 Display" w:hAnsi="Aptos Display" w:eastAsia="Aptos Display"/>
      <w:b/>
      <w:bCs/>
      <w:color w:val="334155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