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One-Page Project Summary</w:t>
      </w:r>
    </w:p>
    <w:p>
      <w:r>
        <w:rPr>
          <w:b w:val="0"/>
        </w:rPr>
        <w:t>Project: EcoConnect Global - Transparent Carbon Credit Marketplace and Reporting Infrastructure Pilot</w:t>
      </w:r>
    </w:p>
    <w:p>
      <w:r>
        <w:rPr>
          <w:b w:val="0"/>
        </w:rPr>
        <w:t>Applicant: EcoConnect Global Ltd. (legal status, registration, jurisdiction, and authorized signatory to be confirmed).</w:t>
      </w:r>
    </w:p>
    <w:p>
      <w:r>
        <w:rPr>
          <w:b w:val="0"/>
        </w:rPr>
        <w:t>Funding Request: $5,000,000 government grant; $1,250,000 applicant match placeholder; $6,250,000 total 24-month project budget.</w:t>
      </w:r>
    </w:p>
    <w:p>
      <w:pPr>
        <w:pStyle w:val="Heading2"/>
      </w:pPr>
      <w:r>
        <w:t>Need</w:t>
      </w:r>
    </w:p>
    <w:p>
      <w:r>
        <w:rPr>
          <w:b w:val="0"/>
        </w:rPr>
        <w:t>Carbon credit markets are fragmented and difficult to trust. SMEs and smaller buyers often lack the resources to evaluate quality, documentation, additionality, permanence, double counting, safeguards, and claims risk. Project developers also need transparent access to qualified buyers. The project addresses this information gap through standardized data, integrity screening, reporting, and education.</w:t>
      </w:r>
    </w:p>
    <w:p>
      <w:pPr>
        <w:pStyle w:val="Heading2"/>
      </w:pPr>
      <w:r>
        <w:t>Solution</w:t>
      </w:r>
    </w:p>
    <w:p>
      <w:r>
        <w:rPr>
          <w:b w:val="0"/>
        </w:rPr>
        <w:t>EcoConnect will build and pilot a secure platform that standardizes carbon project information, exposes diligence signals, supports buyer education, enables audit-ready reporting, and tracks verified purchases/retirements. The platform will not claim official certification authority unless accreditation or formal verification partnerships are documented.</w:t>
      </w:r>
    </w:p>
    <w:p>
      <w:pPr>
        <w:pStyle w:val="Heading2"/>
      </w:pPr>
      <w:r>
        <w:t>24-Month Outputs</w:t>
      </w:r>
    </w:p>
    <w:p>
      <w:pPr>
        <w:pStyle w:val="ListBullet"/>
      </w:pPr>
      <w:r>
        <w:t>150 standardized carbon project profiles integrated and quality checked.</w:t>
      </w:r>
    </w:p>
    <w:p>
      <w:pPr>
        <w:pStyle w:val="ListBullet"/>
      </w:pPr>
      <w:r>
        <w:t>10-20 pilot buyers and 5-10 project developers onboarded.</w:t>
      </w:r>
    </w:p>
    <w:p>
      <w:pPr>
        <w:pStyle w:val="ListBullet"/>
      </w:pPr>
      <w:r>
        <w:t>50 auditable buyer reports generated.</w:t>
      </w:r>
    </w:p>
    <w:p>
      <w:pPr>
        <w:pStyle w:val="ListBullet"/>
      </w:pPr>
      <w:r>
        <w:t>8 stakeholder workshops/webinars delivered.</w:t>
      </w:r>
    </w:p>
    <w:p>
      <w:pPr>
        <w:pStyle w:val="ListBullet"/>
      </w:pPr>
      <w:r>
        <w:t>Independent evaluation and scale-readiness report completed.</w:t>
      </w:r>
    </w:p>
    <w:p>
      <w:pPr>
        <w:pStyle w:val="Heading2"/>
      </w:pPr>
      <w:r>
        <w:t>Grant Readiness</w:t>
      </w:r>
    </w:p>
    <w:p>
      <w:r>
        <w:rPr>
          <w:b w:val="0"/>
        </w:rPr>
        <w:t>Readiness score after restructuring: 62/100. Biggest gaps: target grant program, legal entity evidence, applicant jurisdiction, match proof, partner LOIs, legal/regulatory review, team resumes, procurement controls, data rights, and verified market demand.</w:t>
      </w:r>
    </w:p>
    <w:p>
      <w:pPr>
        <w:pStyle w:val="Heading2"/>
      </w:pPr>
      <w:r>
        <w:t>Top Next Steps</w:t>
      </w:r>
    </w:p>
    <w:p>
      <w:pPr>
        <w:pStyle w:val="ListNumber"/>
      </w:pPr>
      <w:r>
        <w:t>Choose a specific grant program and rewrite the application against that program's scoring rubric.</w:t>
      </w:r>
    </w:p>
    <w:p>
      <w:pPr>
        <w:pStyle w:val="ListNumber"/>
      </w:pPr>
      <w:r>
        <w:t>Replace the $50M equity-investment ask with a phased grant request, match plan, and future financing strategy.</w:t>
      </w:r>
    </w:p>
    <w:p>
      <w:pPr>
        <w:pStyle w:val="ListNumber"/>
      </w:pPr>
      <w:r>
        <w:t>Confirm legal entity, applicant jurisdiction, eligibility, tax status, bank account, and authorized signatory.</w:t>
      </w:r>
    </w:p>
    <w:p>
      <w:pPr>
        <w:pStyle w:val="ListNumber"/>
      </w:pPr>
      <w:r>
        <w:t>Secure signed LOIs from at least 10 pilot buyers, 5 project developers, and 2-3 technical/compliance partners.</w:t>
      </w:r>
    </w:p>
    <w:p>
      <w:pPr>
        <w:pStyle w:val="ListNumber"/>
      </w:pPr>
      <w:r>
        <w:t>Obtain a legal/regulatory memo on carbon credit transactions, AML/KYC, sanctions, consumer claims, and financial services risk.</w:t>
      </w:r>
    </w:p>
    <w:sectPr w:rsidR="00FC693F" w:rsidRPr="0006063C" w:rsidSect="00034616">
      <w:headerReference w:type="default" r:id="rId9"/>
      <w:footerReference w:type="default" r:id="rId10"/>
      <w:pgSz w:w="12240" w:h="15840"/>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6"/>
      </w:rPr>
      <w:t>EcoConnect Global Ltd. | Grant-ready draft | May 19,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748B"/>
        <w:sz w:val="16"/>
      </w:rPr>
      <w:t>One-Page Project Summary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0F766E"/>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134E4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334155"/>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