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766E"/>
          <w:sz w:val="28"/>
        </w:rPr>
        <w:t>EcoConnect Global Ltd.</w:t>
      </w:r>
    </w:p>
    <w:p>
      <w:pPr>
        <w:jc w:val="center"/>
      </w:pPr>
      <w:r>
        <w:rPr>
          <w:b/>
          <w:color w:val="0F172A"/>
          <w:sz w:val="52"/>
        </w:rPr>
        <w:t>Monitoring &amp; Evaluation Plan</w:t>
      </w:r>
    </w:p>
    <w:p>
      <w:pPr>
        <w:jc w:val="center"/>
      </w:pPr>
      <w:r>
        <w:rPr>
          <w:color w:val="475569"/>
          <w:sz w:val="24"/>
        </w:rPr>
        <w:t>Transparent, data-driven marketplace infrastructure for verified carbon credits</w:t>
      </w:r>
    </w:p>
    <w:p>
      <w:pPr>
        <w:jc w:val="center"/>
      </w:pPr>
      <w:r>
        <w:rPr>
          <w:i/>
          <w:color w:val="64748B"/>
          <w:sz w:val="20"/>
        </w:rPr>
        <w:t>Grant Application Support Document</w:t>
      </w:r>
    </w:p>
    <w:p/>
    <w:p>
      <w:pPr>
        <w:jc w:val="center"/>
      </w:pPr>
      <w:r>
        <w:rPr>
          <w:color w:val="64748B"/>
          <w:sz w:val="20"/>
        </w:rPr>
        <w:t>Prepared: May 19, 2026</w:t>
      </w:r>
    </w:p>
    <w:p/>
    <w:tbl>
      <w:tblPr>
        <w:tblW w:type="auto" w:w="0"/>
        <w:jc w:val="center"/>
        <w:tblLook w:firstColumn="1" w:firstRow="1" w:lastColumn="0" w:lastRow="0" w:noHBand="0" w:noVBand="1" w:val="04A0"/>
      </w:tblPr>
      <w:tblGrid>
        <w:gridCol w:w="10080"/>
      </w:tblGrid>
      <w:tr>
        <w:tc>
          <w:tcPr>
            <w:tcW w:type="dxa" w:w="10080"/>
            <w:shd w:fill="F0FDFA"/>
          </w:tcPr>
          <w:p>
            <w:pPr>
              <w:jc w:val="center"/>
            </w:pPr>
            <w:r/>
            <w:r>
              <w:rPr>
                <w:color w:val="0F766E"/>
                <w:sz w:val="20"/>
              </w:rPr>
              <w:t>Draft status: grant-ready structure with explicit placeholders. Final submission requires applicant verification, legal review, program-specific eligibility review, and replacement of all missing data.</w:t>
            </w:r>
          </w:p>
        </w:tc>
      </w:tr>
    </w:tbl>
    <w:p>
      <w:r>
        <w:br w:type="page"/>
      </w:r>
    </w:p>
    <w:p>
      <w:pPr>
        <w:pStyle w:val="Heading1"/>
      </w:pPr>
      <w:r>
        <w:t>Monitoring and Evaluation Plan</w:t>
      </w:r>
    </w:p>
    <w:p>
      <w:r>
        <w:rPr>
          <w:b w:val="0"/>
        </w:rPr>
        <w:t>The M&amp;E plan focuses on measurable outputs, adoption outcomes, integrity safeguards, and grant accountability. Baselines are currently zero because the source documents do not provide evidence of existing users, transactions, or verified retirements.</w:t>
      </w:r>
    </w:p>
    <w:tbl>
      <w:tblPr>
        <w:tblStyle w:val="TableGrid"/>
        <w:tblW w:type="auto" w:w="0"/>
        <w:jc w:val="center"/>
        <w:tblLook w:firstColumn="1" w:firstRow="1" w:lastColumn="0" w:lastRow="0" w:noHBand="0" w:noVBand="1" w:val="04A0"/>
      </w:tblPr>
      <w:tblGrid>
        <w:gridCol w:w="1440"/>
        <w:gridCol w:w="1440"/>
        <w:gridCol w:w="1440"/>
        <w:gridCol w:w="1440"/>
        <w:gridCol w:w="1440"/>
        <w:gridCol w:w="1440"/>
        <w:gridCol w:w="1440"/>
      </w:tblGrid>
      <w:tr>
        <w:tc>
          <w:tcPr>
            <w:tcW w:type="dxa" w:w="1872"/>
            <w:vAlign w:val="top"/>
            <w:shd w:fill="0F766E"/>
          </w:tcPr>
          <w:p>
            <w:r/>
            <w:r>
              <w:rPr>
                <w:b/>
                <w:color w:val="FFFFFF"/>
                <w:sz w:val="14"/>
              </w:rPr>
              <w:t>Objective</w:t>
            </w:r>
          </w:p>
        </w:tc>
        <w:tc>
          <w:tcPr>
            <w:tcW w:type="dxa" w:w="2448"/>
            <w:vAlign w:val="top"/>
            <w:shd w:fill="0F766E"/>
          </w:tcPr>
          <w:p>
            <w:r/>
            <w:r>
              <w:rPr>
                <w:b/>
                <w:color w:val="FFFFFF"/>
                <w:sz w:val="14"/>
              </w:rPr>
              <w:t>Indicator</w:t>
            </w:r>
          </w:p>
        </w:tc>
        <w:tc>
          <w:tcPr>
            <w:tcW w:type="dxa" w:w="1152"/>
            <w:vAlign w:val="top"/>
            <w:shd w:fill="0F766E"/>
          </w:tcPr>
          <w:p>
            <w:r/>
            <w:r>
              <w:rPr>
                <w:b/>
                <w:color w:val="FFFFFF"/>
                <w:sz w:val="14"/>
              </w:rPr>
              <w:t>Baseline</w:t>
            </w:r>
          </w:p>
        </w:tc>
        <w:tc>
          <w:tcPr>
            <w:tcW w:type="dxa" w:w="1296"/>
            <w:vAlign w:val="top"/>
            <w:shd w:fill="0F766E"/>
          </w:tcPr>
          <w:p>
            <w:r/>
            <w:r>
              <w:rPr>
                <w:b/>
                <w:color w:val="FFFFFF"/>
                <w:sz w:val="14"/>
              </w:rPr>
              <w:t>Year 1 Target</w:t>
            </w:r>
          </w:p>
        </w:tc>
        <w:tc>
          <w:tcPr>
            <w:tcW w:type="dxa" w:w="1296"/>
            <w:vAlign w:val="top"/>
            <w:shd w:fill="0F766E"/>
          </w:tcPr>
          <w:p>
            <w:r/>
            <w:r>
              <w:rPr>
                <w:b/>
                <w:color w:val="FFFFFF"/>
                <w:sz w:val="14"/>
              </w:rPr>
              <w:t>Year 2 Target</w:t>
            </w:r>
          </w:p>
        </w:tc>
        <w:tc>
          <w:tcPr>
            <w:tcW w:type="dxa" w:w="1728"/>
            <w:vAlign w:val="top"/>
            <w:shd w:fill="0F766E"/>
          </w:tcPr>
          <w:p>
            <w:r/>
            <w:r>
              <w:rPr>
                <w:b/>
                <w:color w:val="FFFFFF"/>
                <w:sz w:val="14"/>
              </w:rPr>
              <w:t>Data Source</w:t>
            </w:r>
          </w:p>
        </w:tc>
        <w:tc>
          <w:tcPr>
            <w:tcW w:type="dxa" w:w="1152"/>
            <w:vAlign w:val="top"/>
            <w:shd w:fill="0F766E"/>
          </w:tcPr>
          <w:p>
            <w:r/>
            <w:r>
              <w:rPr>
                <w:b/>
                <w:color w:val="FFFFFF"/>
                <w:sz w:val="14"/>
              </w:rPr>
              <w:t>Frequency</w:t>
            </w:r>
          </w:p>
        </w:tc>
      </w:tr>
      <w:tr>
        <w:tc>
          <w:tcPr>
            <w:tcW w:type="dxa" w:w="1872"/>
            <w:vAlign w:val="top"/>
          </w:tcPr>
          <w:p>
            <w:r/>
            <w:r>
              <w:rPr>
                <w:b w:val="0"/>
                <w:color w:val="0F172A"/>
                <w:sz w:val="14"/>
              </w:rPr>
              <w:t>Increase transparency of carbon credit information</w:t>
            </w:r>
          </w:p>
        </w:tc>
        <w:tc>
          <w:tcPr>
            <w:tcW w:type="dxa" w:w="2448"/>
            <w:vAlign w:val="top"/>
          </w:tcPr>
          <w:p>
            <w:r/>
            <w:r>
              <w:rPr>
                <w:b w:val="0"/>
                <w:color w:val="0F172A"/>
                <w:sz w:val="14"/>
              </w:rPr>
              <w:t>Standardized project profiles published in platform</w:t>
            </w:r>
          </w:p>
        </w:tc>
        <w:tc>
          <w:tcPr>
            <w:tcW w:type="dxa" w:w="1152"/>
            <w:vAlign w:val="top"/>
          </w:tcPr>
          <w:p>
            <w:r/>
            <w:r>
              <w:rPr>
                <w:b w:val="0"/>
                <w:color w:val="0F172A"/>
                <w:sz w:val="14"/>
              </w:rPr>
              <w:t>0</w:t>
            </w:r>
          </w:p>
        </w:tc>
        <w:tc>
          <w:tcPr>
            <w:tcW w:type="dxa" w:w="1296"/>
            <w:vAlign w:val="top"/>
          </w:tcPr>
          <w:p>
            <w:r/>
            <w:r>
              <w:rPr>
                <w:b w:val="0"/>
                <w:color w:val="0F172A"/>
                <w:sz w:val="14"/>
              </w:rPr>
              <w:t>50</w:t>
            </w:r>
          </w:p>
        </w:tc>
        <w:tc>
          <w:tcPr>
            <w:tcW w:type="dxa" w:w="1296"/>
            <w:vAlign w:val="top"/>
          </w:tcPr>
          <w:p>
            <w:r/>
            <w:r>
              <w:rPr>
                <w:b w:val="0"/>
                <w:color w:val="0F172A"/>
                <w:sz w:val="14"/>
              </w:rPr>
              <w:t>150</w:t>
            </w:r>
          </w:p>
        </w:tc>
        <w:tc>
          <w:tcPr>
            <w:tcW w:type="dxa" w:w="1728"/>
            <w:vAlign w:val="top"/>
          </w:tcPr>
          <w:p>
            <w:r/>
            <w:r>
              <w:rPr>
                <w:b w:val="0"/>
                <w:color w:val="0F172A"/>
                <w:sz w:val="14"/>
              </w:rPr>
              <w:t>Platform records and data QA logs</w:t>
            </w:r>
          </w:p>
        </w:tc>
        <w:tc>
          <w:tcPr>
            <w:tcW w:type="dxa" w:w="1152"/>
            <w:vAlign w:val="top"/>
          </w:tcPr>
          <w:p>
            <w:r/>
            <w:r>
              <w:rPr>
                <w:b w:val="0"/>
                <w:color w:val="0F172A"/>
                <w:sz w:val="14"/>
              </w:rPr>
              <w:t>Monthly</w:t>
            </w:r>
          </w:p>
        </w:tc>
      </w:tr>
      <w:tr>
        <w:tc>
          <w:tcPr>
            <w:tcW w:type="dxa" w:w="1872"/>
            <w:vAlign w:val="top"/>
          </w:tcPr>
          <w:p>
            <w:r/>
            <w:r>
              <w:rPr>
                <w:b w:val="0"/>
                <w:color w:val="0F172A"/>
                <w:sz w:val="14"/>
              </w:rPr>
              <w:t>Improve SME access to credible credits</w:t>
            </w:r>
          </w:p>
        </w:tc>
        <w:tc>
          <w:tcPr>
            <w:tcW w:type="dxa" w:w="2448"/>
            <w:vAlign w:val="top"/>
          </w:tcPr>
          <w:p>
            <w:r/>
            <w:r>
              <w:rPr>
                <w:b w:val="0"/>
                <w:color w:val="0F172A"/>
                <w:sz w:val="14"/>
              </w:rPr>
              <w:t>Pilot buyers onboarded</w:t>
            </w:r>
          </w:p>
        </w:tc>
        <w:tc>
          <w:tcPr>
            <w:tcW w:type="dxa" w:w="1152"/>
            <w:vAlign w:val="top"/>
          </w:tcPr>
          <w:p>
            <w:r/>
            <w:r>
              <w:rPr>
                <w:b w:val="0"/>
                <w:color w:val="0F172A"/>
                <w:sz w:val="14"/>
              </w:rPr>
              <w:t>0</w:t>
            </w:r>
          </w:p>
        </w:tc>
        <w:tc>
          <w:tcPr>
            <w:tcW w:type="dxa" w:w="1296"/>
            <w:vAlign w:val="top"/>
          </w:tcPr>
          <w:p>
            <w:r/>
            <w:r>
              <w:rPr>
                <w:b w:val="0"/>
                <w:color w:val="0F172A"/>
                <w:sz w:val="14"/>
              </w:rPr>
              <w:t>5-8</w:t>
            </w:r>
          </w:p>
        </w:tc>
        <w:tc>
          <w:tcPr>
            <w:tcW w:type="dxa" w:w="1296"/>
            <w:vAlign w:val="top"/>
          </w:tcPr>
          <w:p>
            <w:r/>
            <w:r>
              <w:rPr>
                <w:b w:val="0"/>
                <w:color w:val="0F172A"/>
                <w:sz w:val="14"/>
              </w:rPr>
              <w:t>10-20</w:t>
            </w:r>
          </w:p>
        </w:tc>
        <w:tc>
          <w:tcPr>
            <w:tcW w:type="dxa" w:w="1728"/>
            <w:vAlign w:val="top"/>
          </w:tcPr>
          <w:p>
            <w:r/>
            <w:r>
              <w:rPr>
                <w:b w:val="0"/>
                <w:color w:val="0F172A"/>
                <w:sz w:val="14"/>
              </w:rPr>
              <w:t>Signed pilot agreements, CRM</w:t>
            </w:r>
          </w:p>
        </w:tc>
        <w:tc>
          <w:tcPr>
            <w:tcW w:type="dxa" w:w="1152"/>
            <w:vAlign w:val="top"/>
          </w:tcPr>
          <w:p>
            <w:r/>
            <w:r>
              <w:rPr>
                <w:b w:val="0"/>
                <w:color w:val="0F172A"/>
                <w:sz w:val="14"/>
              </w:rPr>
              <w:t>Monthly</w:t>
            </w:r>
          </w:p>
        </w:tc>
      </w:tr>
      <w:tr>
        <w:tc>
          <w:tcPr>
            <w:tcW w:type="dxa" w:w="1872"/>
            <w:vAlign w:val="top"/>
          </w:tcPr>
          <w:p>
            <w:r/>
            <w:r>
              <w:rPr>
                <w:b w:val="0"/>
                <w:color w:val="0F172A"/>
                <w:sz w:val="14"/>
              </w:rPr>
              <w:t>Support project developer access to buyers</w:t>
            </w:r>
          </w:p>
        </w:tc>
        <w:tc>
          <w:tcPr>
            <w:tcW w:type="dxa" w:w="2448"/>
            <w:vAlign w:val="top"/>
          </w:tcPr>
          <w:p>
            <w:r/>
            <w:r>
              <w:rPr>
                <w:b w:val="0"/>
                <w:color w:val="0F172A"/>
                <w:sz w:val="14"/>
              </w:rPr>
              <w:t>Project developers onboarded</w:t>
            </w:r>
          </w:p>
        </w:tc>
        <w:tc>
          <w:tcPr>
            <w:tcW w:type="dxa" w:w="1152"/>
            <w:vAlign w:val="top"/>
          </w:tcPr>
          <w:p>
            <w:r/>
            <w:r>
              <w:rPr>
                <w:b w:val="0"/>
                <w:color w:val="0F172A"/>
                <w:sz w:val="14"/>
              </w:rPr>
              <w:t>0</w:t>
            </w:r>
          </w:p>
        </w:tc>
        <w:tc>
          <w:tcPr>
            <w:tcW w:type="dxa" w:w="1296"/>
            <w:vAlign w:val="top"/>
          </w:tcPr>
          <w:p>
            <w:r/>
            <w:r>
              <w:rPr>
                <w:b w:val="0"/>
                <w:color w:val="0F172A"/>
                <w:sz w:val="14"/>
              </w:rPr>
              <w:t>3-5</w:t>
            </w:r>
          </w:p>
        </w:tc>
        <w:tc>
          <w:tcPr>
            <w:tcW w:type="dxa" w:w="1296"/>
            <w:vAlign w:val="top"/>
          </w:tcPr>
          <w:p>
            <w:r/>
            <w:r>
              <w:rPr>
                <w:b w:val="0"/>
                <w:color w:val="0F172A"/>
                <w:sz w:val="14"/>
              </w:rPr>
              <w:t>5-10</w:t>
            </w:r>
          </w:p>
        </w:tc>
        <w:tc>
          <w:tcPr>
            <w:tcW w:type="dxa" w:w="1728"/>
            <w:vAlign w:val="top"/>
          </w:tcPr>
          <w:p>
            <w:r/>
            <w:r>
              <w:rPr>
                <w:b w:val="0"/>
                <w:color w:val="0F172A"/>
                <w:sz w:val="14"/>
              </w:rPr>
              <w:t>Onboarding records</w:t>
            </w:r>
          </w:p>
        </w:tc>
        <w:tc>
          <w:tcPr>
            <w:tcW w:type="dxa" w:w="1152"/>
            <w:vAlign w:val="top"/>
          </w:tcPr>
          <w:p>
            <w:r/>
            <w:r>
              <w:rPr>
                <w:b w:val="0"/>
                <w:color w:val="0F172A"/>
                <w:sz w:val="14"/>
              </w:rPr>
              <w:t>Quarterly</w:t>
            </w:r>
          </w:p>
        </w:tc>
      </w:tr>
      <w:tr>
        <w:tc>
          <w:tcPr>
            <w:tcW w:type="dxa" w:w="1872"/>
            <w:vAlign w:val="top"/>
          </w:tcPr>
          <w:p>
            <w:r/>
            <w:r>
              <w:rPr>
                <w:b w:val="0"/>
                <w:color w:val="0F172A"/>
                <w:sz w:val="14"/>
              </w:rPr>
              <w:t>Strengthen credit integrity screening</w:t>
            </w:r>
          </w:p>
        </w:tc>
        <w:tc>
          <w:tcPr>
            <w:tcW w:type="dxa" w:w="2448"/>
            <w:vAlign w:val="top"/>
          </w:tcPr>
          <w:p>
            <w:r/>
            <w:r>
              <w:rPr>
                <w:b w:val="0"/>
                <w:color w:val="0F172A"/>
                <w:sz w:val="14"/>
              </w:rPr>
              <w:t>Credits/projects screened using documented criteria</w:t>
            </w:r>
          </w:p>
        </w:tc>
        <w:tc>
          <w:tcPr>
            <w:tcW w:type="dxa" w:w="1152"/>
            <w:vAlign w:val="top"/>
          </w:tcPr>
          <w:p>
            <w:r/>
            <w:r>
              <w:rPr>
                <w:b w:val="0"/>
                <w:color w:val="0F172A"/>
                <w:sz w:val="14"/>
              </w:rPr>
              <w:t>0</w:t>
            </w:r>
          </w:p>
        </w:tc>
        <w:tc>
          <w:tcPr>
            <w:tcW w:type="dxa" w:w="1296"/>
            <w:vAlign w:val="top"/>
          </w:tcPr>
          <w:p>
            <w:r/>
            <w:r>
              <w:rPr>
                <w:b w:val="0"/>
                <w:color w:val="0F172A"/>
                <w:sz w:val="14"/>
              </w:rPr>
              <w:t>50 projects</w:t>
            </w:r>
          </w:p>
        </w:tc>
        <w:tc>
          <w:tcPr>
            <w:tcW w:type="dxa" w:w="1296"/>
            <w:vAlign w:val="top"/>
          </w:tcPr>
          <w:p>
            <w:r/>
            <w:r>
              <w:rPr>
                <w:b w:val="0"/>
                <w:color w:val="0F172A"/>
                <w:sz w:val="14"/>
              </w:rPr>
              <w:t>150 projects</w:t>
            </w:r>
          </w:p>
        </w:tc>
        <w:tc>
          <w:tcPr>
            <w:tcW w:type="dxa" w:w="1728"/>
            <w:vAlign w:val="top"/>
          </w:tcPr>
          <w:p>
            <w:r/>
            <w:r>
              <w:rPr>
                <w:b w:val="0"/>
                <w:color w:val="0F172A"/>
                <w:sz w:val="14"/>
              </w:rPr>
              <w:t>Scoring logs and methodology review</w:t>
            </w:r>
          </w:p>
        </w:tc>
        <w:tc>
          <w:tcPr>
            <w:tcW w:type="dxa" w:w="1152"/>
            <w:vAlign w:val="top"/>
          </w:tcPr>
          <w:p>
            <w:r/>
            <w:r>
              <w:rPr>
                <w:b w:val="0"/>
                <w:color w:val="0F172A"/>
                <w:sz w:val="14"/>
              </w:rPr>
              <w:t>Monthly</w:t>
            </w:r>
          </w:p>
        </w:tc>
      </w:tr>
      <w:tr>
        <w:tc>
          <w:tcPr>
            <w:tcW w:type="dxa" w:w="1872"/>
            <w:vAlign w:val="top"/>
          </w:tcPr>
          <w:p>
            <w:r/>
            <w:r>
              <w:rPr>
                <w:b w:val="0"/>
                <w:color w:val="0F172A"/>
                <w:sz w:val="14"/>
              </w:rPr>
              <w:t>Enable auditable reporting</w:t>
            </w:r>
          </w:p>
        </w:tc>
        <w:tc>
          <w:tcPr>
            <w:tcW w:type="dxa" w:w="2448"/>
            <w:vAlign w:val="top"/>
          </w:tcPr>
          <w:p>
            <w:r/>
            <w:r>
              <w:rPr>
                <w:b w:val="0"/>
                <w:color w:val="0F172A"/>
                <w:sz w:val="14"/>
              </w:rPr>
              <w:t>Buyer reports generated with audit trail</w:t>
            </w:r>
          </w:p>
        </w:tc>
        <w:tc>
          <w:tcPr>
            <w:tcW w:type="dxa" w:w="1152"/>
            <w:vAlign w:val="top"/>
          </w:tcPr>
          <w:p>
            <w:r/>
            <w:r>
              <w:rPr>
                <w:b w:val="0"/>
                <w:color w:val="0F172A"/>
                <w:sz w:val="14"/>
              </w:rPr>
              <w:t>0</w:t>
            </w:r>
          </w:p>
        </w:tc>
        <w:tc>
          <w:tcPr>
            <w:tcW w:type="dxa" w:w="1296"/>
            <w:vAlign w:val="top"/>
          </w:tcPr>
          <w:p>
            <w:r/>
            <w:r>
              <w:rPr>
                <w:b w:val="0"/>
                <w:color w:val="0F172A"/>
                <w:sz w:val="14"/>
              </w:rPr>
              <w:t>10</w:t>
            </w:r>
          </w:p>
        </w:tc>
        <w:tc>
          <w:tcPr>
            <w:tcW w:type="dxa" w:w="1296"/>
            <w:vAlign w:val="top"/>
          </w:tcPr>
          <w:p>
            <w:r/>
            <w:r>
              <w:rPr>
                <w:b w:val="0"/>
                <w:color w:val="0F172A"/>
                <w:sz w:val="14"/>
              </w:rPr>
              <w:t>50</w:t>
            </w:r>
          </w:p>
        </w:tc>
        <w:tc>
          <w:tcPr>
            <w:tcW w:type="dxa" w:w="1728"/>
            <w:vAlign w:val="top"/>
          </w:tcPr>
          <w:p>
            <w:r/>
            <w:r>
              <w:rPr>
                <w:b w:val="0"/>
                <w:color w:val="0F172A"/>
                <w:sz w:val="14"/>
              </w:rPr>
              <w:t>Platform logs and report samples</w:t>
            </w:r>
          </w:p>
        </w:tc>
        <w:tc>
          <w:tcPr>
            <w:tcW w:type="dxa" w:w="1152"/>
            <w:vAlign w:val="top"/>
          </w:tcPr>
          <w:p>
            <w:r/>
            <w:r>
              <w:rPr>
                <w:b w:val="0"/>
                <w:color w:val="0F172A"/>
                <w:sz w:val="14"/>
              </w:rPr>
              <w:t>Quarterly</w:t>
            </w:r>
          </w:p>
        </w:tc>
      </w:tr>
      <w:tr>
        <w:tc>
          <w:tcPr>
            <w:tcW w:type="dxa" w:w="1872"/>
            <w:vAlign w:val="top"/>
          </w:tcPr>
          <w:p>
            <w:r/>
            <w:r>
              <w:rPr>
                <w:b w:val="0"/>
                <w:color w:val="0F172A"/>
                <w:sz w:val="14"/>
              </w:rPr>
              <w:t>Build public learning</w:t>
            </w:r>
          </w:p>
        </w:tc>
        <w:tc>
          <w:tcPr>
            <w:tcW w:type="dxa" w:w="2448"/>
            <w:vAlign w:val="top"/>
          </w:tcPr>
          <w:p>
            <w:r/>
            <w:r>
              <w:rPr>
                <w:b w:val="0"/>
                <w:color w:val="0F172A"/>
                <w:sz w:val="14"/>
              </w:rPr>
              <w:t>Workshops/webinars delivered</w:t>
            </w:r>
          </w:p>
        </w:tc>
        <w:tc>
          <w:tcPr>
            <w:tcW w:type="dxa" w:w="1152"/>
            <w:vAlign w:val="top"/>
          </w:tcPr>
          <w:p>
            <w:r/>
            <w:r>
              <w:rPr>
                <w:b w:val="0"/>
                <w:color w:val="0F172A"/>
                <w:sz w:val="14"/>
              </w:rPr>
              <w:t>0</w:t>
            </w:r>
          </w:p>
        </w:tc>
        <w:tc>
          <w:tcPr>
            <w:tcW w:type="dxa" w:w="1296"/>
            <w:vAlign w:val="top"/>
          </w:tcPr>
          <w:p>
            <w:r/>
            <w:r>
              <w:rPr>
                <w:b w:val="0"/>
                <w:color w:val="0F172A"/>
                <w:sz w:val="14"/>
              </w:rPr>
              <w:t>3</w:t>
            </w:r>
          </w:p>
        </w:tc>
        <w:tc>
          <w:tcPr>
            <w:tcW w:type="dxa" w:w="1296"/>
            <w:vAlign w:val="top"/>
          </w:tcPr>
          <w:p>
            <w:r/>
            <w:r>
              <w:rPr>
                <w:b w:val="0"/>
                <w:color w:val="0F172A"/>
                <w:sz w:val="14"/>
              </w:rPr>
              <w:t>8</w:t>
            </w:r>
          </w:p>
        </w:tc>
        <w:tc>
          <w:tcPr>
            <w:tcW w:type="dxa" w:w="1728"/>
            <w:vAlign w:val="top"/>
          </w:tcPr>
          <w:p>
            <w:r/>
            <w:r>
              <w:rPr>
                <w:b w:val="0"/>
                <w:color w:val="0F172A"/>
                <w:sz w:val="14"/>
              </w:rPr>
              <w:t>Event records, attendance logs</w:t>
            </w:r>
          </w:p>
        </w:tc>
        <w:tc>
          <w:tcPr>
            <w:tcW w:type="dxa" w:w="1152"/>
            <w:vAlign w:val="top"/>
          </w:tcPr>
          <w:p>
            <w:r/>
            <w:r>
              <w:rPr>
                <w:b w:val="0"/>
                <w:color w:val="0F172A"/>
                <w:sz w:val="14"/>
              </w:rPr>
              <w:t>Quarterly</w:t>
            </w:r>
          </w:p>
        </w:tc>
      </w:tr>
      <w:tr>
        <w:tc>
          <w:tcPr>
            <w:tcW w:type="dxa" w:w="1872"/>
            <w:vAlign w:val="top"/>
          </w:tcPr>
          <w:p>
            <w:r/>
            <w:r>
              <w:rPr>
                <w:b w:val="0"/>
                <w:color w:val="0F172A"/>
                <w:sz w:val="14"/>
              </w:rPr>
              <w:t>Measure adoption and user value</w:t>
            </w:r>
          </w:p>
        </w:tc>
        <w:tc>
          <w:tcPr>
            <w:tcW w:type="dxa" w:w="2448"/>
            <w:vAlign w:val="top"/>
          </w:tcPr>
          <w:p>
            <w:r/>
            <w:r>
              <w:rPr>
                <w:b w:val="0"/>
                <w:color w:val="0F172A"/>
                <w:sz w:val="14"/>
              </w:rPr>
              <w:t>Average pilot user satisfaction score</w:t>
            </w:r>
          </w:p>
        </w:tc>
        <w:tc>
          <w:tcPr>
            <w:tcW w:type="dxa" w:w="1152"/>
            <w:vAlign w:val="top"/>
          </w:tcPr>
          <w:p>
            <w:r/>
            <w:r>
              <w:rPr>
                <w:b w:val="0"/>
                <w:color w:val="0F172A"/>
                <w:sz w:val="14"/>
              </w:rPr>
              <w:t>No baseline</w:t>
            </w:r>
          </w:p>
        </w:tc>
        <w:tc>
          <w:tcPr>
            <w:tcW w:type="dxa" w:w="1296"/>
            <w:vAlign w:val="top"/>
          </w:tcPr>
          <w:p>
            <w:r/>
            <w:r>
              <w:rPr>
                <w:b w:val="0"/>
                <w:color w:val="0F172A"/>
                <w:sz w:val="14"/>
              </w:rPr>
              <w:t>&gt;= 75%</w:t>
            </w:r>
          </w:p>
        </w:tc>
        <w:tc>
          <w:tcPr>
            <w:tcW w:type="dxa" w:w="1296"/>
            <w:vAlign w:val="top"/>
          </w:tcPr>
          <w:p>
            <w:r/>
            <w:r>
              <w:rPr>
                <w:b w:val="0"/>
                <w:color w:val="0F172A"/>
                <w:sz w:val="14"/>
              </w:rPr>
              <w:t>&gt;= 80%</w:t>
            </w:r>
          </w:p>
        </w:tc>
        <w:tc>
          <w:tcPr>
            <w:tcW w:type="dxa" w:w="1728"/>
            <w:vAlign w:val="top"/>
          </w:tcPr>
          <w:p>
            <w:r/>
            <w:r>
              <w:rPr>
                <w:b w:val="0"/>
                <w:color w:val="0F172A"/>
                <w:sz w:val="14"/>
              </w:rPr>
              <w:t>User surveys</w:t>
            </w:r>
          </w:p>
        </w:tc>
        <w:tc>
          <w:tcPr>
            <w:tcW w:type="dxa" w:w="1152"/>
            <w:vAlign w:val="top"/>
          </w:tcPr>
          <w:p>
            <w:r/>
            <w:r>
              <w:rPr>
                <w:b w:val="0"/>
                <w:color w:val="0F172A"/>
                <w:sz w:val="14"/>
              </w:rPr>
              <w:t>Quarterly</w:t>
            </w:r>
          </w:p>
        </w:tc>
      </w:tr>
      <w:tr>
        <w:tc>
          <w:tcPr>
            <w:tcW w:type="dxa" w:w="1872"/>
            <w:vAlign w:val="top"/>
          </w:tcPr>
          <w:p>
            <w:r/>
            <w:r>
              <w:rPr>
                <w:b w:val="0"/>
                <w:color w:val="0F172A"/>
                <w:sz w:val="14"/>
              </w:rPr>
              <w:t>Protect data and security</w:t>
            </w:r>
          </w:p>
        </w:tc>
        <w:tc>
          <w:tcPr>
            <w:tcW w:type="dxa" w:w="2448"/>
            <w:vAlign w:val="top"/>
          </w:tcPr>
          <w:p>
            <w:r/>
            <w:r>
              <w:rPr>
                <w:b w:val="0"/>
                <w:color w:val="0F172A"/>
                <w:sz w:val="14"/>
              </w:rPr>
              <w:t>Critical security incidents</w:t>
            </w:r>
          </w:p>
        </w:tc>
        <w:tc>
          <w:tcPr>
            <w:tcW w:type="dxa" w:w="1152"/>
            <w:vAlign w:val="top"/>
          </w:tcPr>
          <w:p>
            <w:r/>
            <w:r>
              <w:rPr>
                <w:b w:val="0"/>
                <w:color w:val="0F172A"/>
                <w:sz w:val="14"/>
              </w:rPr>
              <w:t>0</w:t>
            </w:r>
          </w:p>
        </w:tc>
        <w:tc>
          <w:tcPr>
            <w:tcW w:type="dxa" w:w="1296"/>
            <w:vAlign w:val="top"/>
          </w:tcPr>
          <w:p>
            <w:r/>
            <w:r>
              <w:rPr>
                <w:b w:val="0"/>
                <w:color w:val="0F172A"/>
                <w:sz w:val="14"/>
              </w:rPr>
              <w:t>0</w:t>
            </w:r>
          </w:p>
        </w:tc>
        <w:tc>
          <w:tcPr>
            <w:tcW w:type="dxa" w:w="1296"/>
            <w:vAlign w:val="top"/>
          </w:tcPr>
          <w:p>
            <w:r/>
            <w:r>
              <w:rPr>
                <w:b w:val="0"/>
                <w:color w:val="0F172A"/>
                <w:sz w:val="14"/>
              </w:rPr>
              <w:t>0</w:t>
            </w:r>
          </w:p>
        </w:tc>
        <w:tc>
          <w:tcPr>
            <w:tcW w:type="dxa" w:w="1728"/>
            <w:vAlign w:val="top"/>
          </w:tcPr>
          <w:p>
            <w:r/>
            <w:r>
              <w:rPr>
                <w:b w:val="0"/>
                <w:color w:val="0F172A"/>
                <w:sz w:val="14"/>
              </w:rPr>
              <w:t>Incident log</w:t>
            </w:r>
          </w:p>
        </w:tc>
        <w:tc>
          <w:tcPr>
            <w:tcW w:type="dxa" w:w="1152"/>
            <w:vAlign w:val="top"/>
          </w:tcPr>
          <w:p>
            <w:r/>
            <w:r>
              <w:rPr>
                <w:b w:val="0"/>
                <w:color w:val="0F172A"/>
                <w:sz w:val="14"/>
              </w:rPr>
              <w:t>Monthly</w:t>
            </w:r>
          </w:p>
        </w:tc>
      </w:tr>
      <w:tr>
        <w:tc>
          <w:tcPr>
            <w:tcW w:type="dxa" w:w="1872"/>
            <w:vAlign w:val="top"/>
          </w:tcPr>
          <w:p>
            <w:r/>
            <w:r>
              <w:rPr>
                <w:b w:val="0"/>
                <w:color w:val="0F172A"/>
                <w:sz w:val="14"/>
              </w:rPr>
              <w:t>Ensure grant accountability</w:t>
            </w:r>
          </w:p>
        </w:tc>
        <w:tc>
          <w:tcPr>
            <w:tcW w:type="dxa" w:w="2448"/>
            <w:vAlign w:val="top"/>
          </w:tcPr>
          <w:p>
            <w:r/>
            <w:r>
              <w:rPr>
                <w:b w:val="0"/>
                <w:color w:val="0F172A"/>
                <w:sz w:val="14"/>
              </w:rPr>
              <w:t>Reports submitted on time</w:t>
            </w:r>
          </w:p>
        </w:tc>
        <w:tc>
          <w:tcPr>
            <w:tcW w:type="dxa" w:w="1152"/>
            <w:vAlign w:val="top"/>
          </w:tcPr>
          <w:p>
            <w:r/>
            <w:r>
              <w:rPr>
                <w:b w:val="0"/>
                <w:color w:val="0F172A"/>
                <w:sz w:val="14"/>
              </w:rPr>
              <w:t>0</w:t>
            </w:r>
          </w:p>
        </w:tc>
        <w:tc>
          <w:tcPr>
            <w:tcW w:type="dxa" w:w="1296"/>
            <w:vAlign w:val="top"/>
          </w:tcPr>
          <w:p>
            <w:r/>
            <w:r>
              <w:rPr>
                <w:b w:val="0"/>
                <w:color w:val="0F172A"/>
                <w:sz w:val="14"/>
              </w:rPr>
              <w:t>100%</w:t>
            </w:r>
          </w:p>
        </w:tc>
        <w:tc>
          <w:tcPr>
            <w:tcW w:type="dxa" w:w="1296"/>
            <w:vAlign w:val="top"/>
          </w:tcPr>
          <w:p>
            <w:r/>
            <w:r>
              <w:rPr>
                <w:b w:val="0"/>
                <w:color w:val="0F172A"/>
                <w:sz w:val="14"/>
              </w:rPr>
              <w:t>100%</w:t>
            </w:r>
          </w:p>
        </w:tc>
        <w:tc>
          <w:tcPr>
            <w:tcW w:type="dxa" w:w="1728"/>
            <w:vAlign w:val="top"/>
          </w:tcPr>
          <w:p>
            <w:r/>
            <w:r>
              <w:rPr>
                <w:b w:val="0"/>
                <w:color w:val="0F172A"/>
                <w:sz w:val="14"/>
              </w:rPr>
              <w:t>Grant reporting calendar</w:t>
            </w:r>
          </w:p>
        </w:tc>
        <w:tc>
          <w:tcPr>
            <w:tcW w:type="dxa" w:w="1152"/>
            <w:vAlign w:val="top"/>
          </w:tcPr>
          <w:p>
            <w:r/>
            <w:r>
              <w:rPr>
                <w:b w:val="0"/>
                <w:color w:val="0F172A"/>
                <w:sz w:val="14"/>
              </w:rPr>
              <w:t>Quarterly</w:t>
            </w:r>
          </w:p>
        </w:tc>
      </w:tr>
      <w:tr>
        <w:tc>
          <w:tcPr>
            <w:tcW w:type="dxa" w:w="1872"/>
            <w:vAlign w:val="top"/>
          </w:tcPr>
          <w:p>
            <w:r/>
            <w:r>
              <w:rPr>
                <w:b w:val="0"/>
                <w:color w:val="0F172A"/>
                <w:sz w:val="14"/>
              </w:rPr>
              <w:t>Avoid overclaiming climate impact</w:t>
            </w:r>
          </w:p>
        </w:tc>
        <w:tc>
          <w:tcPr>
            <w:tcW w:type="dxa" w:w="2448"/>
            <w:vAlign w:val="top"/>
          </w:tcPr>
          <w:p>
            <w:r/>
            <w:r>
              <w:rPr>
                <w:b w:val="0"/>
                <w:color w:val="0F172A"/>
                <w:sz w:val="14"/>
              </w:rPr>
              <w:t>Emissions impact claims verified before publication</w:t>
            </w:r>
          </w:p>
        </w:tc>
        <w:tc>
          <w:tcPr>
            <w:tcW w:type="dxa" w:w="1152"/>
            <w:vAlign w:val="top"/>
          </w:tcPr>
          <w:p>
            <w:r/>
            <w:r>
              <w:rPr>
                <w:b w:val="0"/>
                <w:color w:val="0F172A"/>
                <w:sz w:val="14"/>
              </w:rPr>
              <w:t>0</w:t>
            </w:r>
          </w:p>
        </w:tc>
        <w:tc>
          <w:tcPr>
            <w:tcW w:type="dxa" w:w="1296"/>
            <w:vAlign w:val="top"/>
          </w:tcPr>
          <w:p>
            <w:r/>
            <w:r>
              <w:rPr>
                <w:b w:val="0"/>
                <w:color w:val="0F172A"/>
                <w:sz w:val="14"/>
              </w:rPr>
              <w:t>100%</w:t>
            </w:r>
          </w:p>
        </w:tc>
        <w:tc>
          <w:tcPr>
            <w:tcW w:type="dxa" w:w="1296"/>
            <w:vAlign w:val="top"/>
          </w:tcPr>
          <w:p>
            <w:r/>
            <w:r>
              <w:rPr>
                <w:b w:val="0"/>
                <w:color w:val="0F172A"/>
                <w:sz w:val="14"/>
              </w:rPr>
              <w:t>100%</w:t>
            </w:r>
          </w:p>
        </w:tc>
        <w:tc>
          <w:tcPr>
            <w:tcW w:type="dxa" w:w="1728"/>
            <w:vAlign w:val="top"/>
          </w:tcPr>
          <w:p>
            <w:r/>
            <w:r>
              <w:rPr>
                <w:b w:val="0"/>
                <w:color w:val="0F172A"/>
                <w:sz w:val="14"/>
              </w:rPr>
              <w:t>Claims review log</w:t>
            </w:r>
          </w:p>
        </w:tc>
        <w:tc>
          <w:tcPr>
            <w:tcW w:type="dxa" w:w="1152"/>
            <w:vAlign w:val="top"/>
          </w:tcPr>
          <w:p>
            <w:r/>
            <w:r>
              <w:rPr>
                <w:b w:val="0"/>
                <w:color w:val="0F172A"/>
                <w:sz w:val="14"/>
              </w:rPr>
              <w:t>Per claim</w:t>
            </w:r>
          </w:p>
        </w:tc>
      </w:tr>
    </w:tbl>
    <w:p>
      <w:pPr>
        <w:pStyle w:val="Heading2"/>
      </w:pPr>
      <w:r>
        <w:t>Evaluation Method</w:t>
      </w:r>
    </w:p>
    <w:p>
      <w:pPr>
        <w:pStyle w:val="ListBullet"/>
      </w:pPr>
      <w:r>
        <w:t>Baseline: confirm current platform status, data sources, partners, users, and operational controls at project start.</w:t>
      </w:r>
    </w:p>
    <w:p>
      <w:pPr>
        <w:pStyle w:val="ListBullet"/>
      </w:pPr>
      <w:r>
        <w:t>Monthly monitoring: track outputs, budget burn, risk register, data quality, security issues, and pilot activity.</w:t>
      </w:r>
    </w:p>
    <w:p>
      <w:pPr>
        <w:pStyle w:val="ListBullet"/>
      </w:pPr>
      <w:r>
        <w:t>Quarterly review: assess user adoption, satisfaction, partner progress, grant compliance, and corrective actions.</w:t>
      </w:r>
    </w:p>
    <w:p>
      <w:pPr>
        <w:pStyle w:val="ListBullet"/>
      </w:pPr>
      <w:r>
        <w:t>Mid-term review: independent or semi-independent review at Month 12 to decide whether to proceed to transaction/retirement tracking pilot.</w:t>
      </w:r>
    </w:p>
    <w:p>
      <w:pPr>
        <w:pStyle w:val="ListBullet"/>
      </w:pPr>
      <w:r>
        <w:t>Final evaluation: independent evaluator assesses relevance, effectiveness, efficiency, sustainability, integrity safeguards, and lessons learned.</w:t>
      </w:r>
    </w:p>
    <w:p>
      <w:pPr>
        <w:pStyle w:val="Heading2"/>
      </w:pPr>
      <w:r>
        <w:t>Claims and Impact Controls</w:t>
      </w:r>
    </w:p>
    <w:p>
      <w:r>
        <w:rPr>
          <w:b w:val="0"/>
        </w:rPr>
        <w:t>All impact claims will be reviewed against a claims policy before publication. The platform will separate information services from official certification and will not claim accreditation unless documented. Environmental impact metrics will distinguish between analysis, purchase, and retirement.</w:t>
      </w:r>
    </w:p>
    <w:p>
      <w:pPr>
        <w:pStyle w:val="Heading2"/>
      </w:pPr>
      <w:r>
        <w:t>Source Notes</w:t>
      </w:r>
    </w:p>
    <w:p>
      <w:r>
        <w:rPr>
          <w:b w:val="0"/>
        </w:rPr>
        <w:t>Source documents reviewed:</w:t>
      </w:r>
    </w:p>
    <w:p>
      <w:pPr>
        <w:pStyle w:val="ListBullet"/>
      </w:pPr>
      <w:r>
        <w:t>retirement_idea.docx - concept plan for a global marketplace for carbon credits and sustainability initiatives</w:t>
      </w:r>
    </w:p>
    <w:p>
      <w:pPr>
        <w:pStyle w:val="ListBullet"/>
      </w:pPr>
      <w:r>
        <w:t>retirement_plan.docx - comprehensive business plan for EcoConnect Global Ltd.</w:t>
      </w:r>
    </w:p>
    <w:p>
      <w:pPr>
        <w:pStyle w:val="ListBullet"/>
      </w:pPr>
      <w:r>
        <w:t>retirement_funds_request.docx - detailed $50 million investor-oriented use of funds</w:t>
      </w:r>
    </w:p>
    <w:p>
      <w:r>
        <w:rPr>
          <w:b w:val="0"/>
        </w:rPr>
        <w:t>External market and compliance sources used for sanity-checking and grant framing:</w:t>
      </w:r>
    </w:p>
    <w:p>
      <w:pPr>
        <w:pStyle w:val="ListBullet"/>
      </w:pPr>
      <w:r>
        <w:t>World Bank - State and Trends of Carbon Pricing: https://www.worldbank.org/en/publication/state-and-trends-of-carbon-pricing</w:t>
      </w:r>
    </w:p>
    <w:p>
      <w:pPr>
        <w:pStyle w:val="ListBullet"/>
      </w:pPr>
      <w:r>
        <w:t>Ecosystem Marketplace - 2024 State of the Voluntary Carbon Market / market contraction article: https://www.ecosystemmarketplace.com/articles/report-the-voluntary-carbon-market-contracted-in-2023-driven-by-drop-off-in-transactions-for-redd-and-renewable-energy/</w:t>
      </w:r>
    </w:p>
    <w:p>
      <w:pPr>
        <w:pStyle w:val="ListBullet"/>
      </w:pPr>
      <w:r>
        <w:t>ICVCM - Core Carbon Principles and Assessment Framework: https://icvcm.org/wp-content/uploads/2024/02/CCP-Book-V1.1-FINAL-LowRes-15May24.pdf</w:t>
      </w:r>
    </w:p>
    <w:p>
      <w:pPr>
        <w:pStyle w:val="ListBullet"/>
      </w:pPr>
      <w:r>
        <w:t>VCMI - Claims Code of Practice and MRA framework: https://vcmintegrity.org/vcmi-claims-code-of-practice/</w:t>
      </w:r>
    </w:p>
    <w:p>
      <w:pPr>
        <w:pStyle w:val="ListBullet"/>
      </w:pPr>
      <w:r>
        <w:t>U.S. Treasury - Voluntary Carbon Markets Joint Policy Statement and Principles: https://home.treasury.gov/system/files/136/VCM-Joint-Policy-Statement-and-Principles.pdf</w:t>
      </w:r>
    </w:p>
    <w:p>
      <w:pPr>
        <w:pStyle w:val="ListBullet"/>
      </w:pPr>
      <w:r>
        <w:t>European Commission - Corporate sustainability reporting / CSRD: https://finance.ec.europa.eu/financial-markets/company-reporting-and-auditing/company-reporting/corporate-sustainability-reporting_en</w:t>
      </w:r>
    </w:p>
    <w:p>
      <w:pPr>
        <w:pStyle w:val="ListBullet"/>
      </w:pPr>
      <w:r>
        <w:t>European Commission - EU Emissions Trading System: https://climate.ec.europa.eu/eu-action/carbon-markets/eu-emissions-trading-system-eu-ets_en</w:t>
      </w:r>
    </w:p>
    <w:p>
      <w:pPr>
        <w:pStyle w:val="ListBullet"/>
      </w:pPr>
      <w:r>
        <w:t>GOV.UK - Environmental reporting guidelines including SECR: https://www.gov.uk/government/publications/environmental-reporting-guidelines-including-mandatory-greenhouse-gas-emissions-reporting-guidance</w:t>
      </w:r>
    </w:p>
    <w:sectPr w:rsidR="00FC693F" w:rsidRPr="0006063C" w:rsidSect="00034616">
      <w:headerReference w:type="default" r:id="rId9"/>
      <w:footerReference w:type="default" r:id="rId10"/>
      <w:pgSz w:w="12240" w:h="15840"/>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6"/>
      </w:rPr>
      <w:t>EcoConnect Global Ltd. | Grant-ready draft | May 19,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748B"/>
        <w:sz w:val="16"/>
      </w:rPr>
      <w:t>Monitoring &amp; Evaluation Plan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0F766E"/>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134E4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334155"/>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