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766E"/>
          <w:sz w:val="28"/>
        </w:rPr>
        <w:t>EcoConnect Global Ltd.</w:t>
      </w:r>
    </w:p>
    <w:p>
      <w:pPr>
        <w:jc w:val="center"/>
      </w:pPr>
      <w:r>
        <w:rPr>
          <w:b/>
          <w:color w:val="0F172A"/>
          <w:sz w:val="52"/>
        </w:rPr>
        <w:t>Market/Need Analysis</w:t>
      </w:r>
    </w:p>
    <w:p>
      <w:pPr>
        <w:jc w:val="center"/>
      </w:pPr>
      <w:r>
        <w:rPr>
          <w:color w:val="475569"/>
          <w:sz w:val="24"/>
        </w:rPr>
        <w:t>Transparent, data-driven marketplace infrastructure for verified carbon credits</w:t>
      </w:r>
    </w:p>
    <w:p>
      <w:pPr>
        <w:jc w:val="center"/>
      </w:pPr>
      <w:r>
        <w:rPr>
          <w:i/>
          <w:color w:val="64748B"/>
          <w:sz w:val="20"/>
        </w:rPr>
        <w:t>Grant Application Support Document</w:t>
      </w:r>
    </w:p>
    <w:p/>
    <w:p>
      <w:pPr>
        <w:jc w:val="center"/>
      </w:pPr>
      <w:r>
        <w:rPr>
          <w:color w:val="64748B"/>
          <w:sz w:val="20"/>
        </w:rPr>
        <w:t>Prepared: May 19, 2026</w:t>
      </w:r>
    </w:p>
    <w:p/>
    <w:tbl>
      <w:tblPr>
        <w:tblW w:type="auto" w:w="0"/>
        <w:jc w:val="center"/>
        <w:tblLook w:firstColumn="1" w:firstRow="1" w:lastColumn="0" w:lastRow="0" w:noHBand="0" w:noVBand="1" w:val="04A0"/>
      </w:tblPr>
      <w:tblGrid>
        <w:gridCol w:w="10080"/>
      </w:tblGrid>
      <w:tr>
        <w:tc>
          <w:tcPr>
            <w:tcW w:type="dxa" w:w="10080"/>
            <w:shd w:fill="F0FDFA"/>
          </w:tcPr>
          <w:p>
            <w:pPr>
              <w:jc w:val="center"/>
            </w:pPr>
            <w:r/>
            <w:r>
              <w:rPr>
                <w:color w:val="0F766E"/>
                <w:sz w:val="20"/>
              </w:rPr>
              <w:t>Draft status: grant-ready structure with explicit placeholders. Final submission requires applicant verification, legal review, program-specific eligibility review, and replacement of all missing data.</w:t>
            </w:r>
          </w:p>
        </w:tc>
      </w:tr>
    </w:tbl>
    <w:p>
      <w:r>
        <w:br w:type="page"/>
      </w:r>
    </w:p>
    <w:p>
      <w:pPr>
        <w:pStyle w:val="Heading1"/>
      </w:pPr>
      <w:r>
        <w:t>Market and Need Analysis</w:t>
      </w:r>
    </w:p>
    <w:p>
      <w:r>
        <w:rPr>
          <w:b w:val="0"/>
        </w:rPr>
        <w:t>The market opportunity should be presented carefully. The original source files use broad carbon market projections that may blend compliance carbon markets, voluntary credits, and other sustainability finance categories. For grant purposes, the strongest need analysis is narrower: the market has a trust, data, and accessibility gap that prevents credible participation by smaller buyers and creates friction for legitimate project developers.</w:t>
      </w:r>
    </w:p>
    <w:p>
      <w:pPr>
        <w:pStyle w:val="Heading2"/>
      </w:pPr>
      <w:r>
        <w:t>Current Market Context</w:t>
      </w:r>
    </w:p>
    <w:p>
      <w:pPr>
        <w:pStyle w:val="ListBullet"/>
      </w:pPr>
      <w:r>
        <w:t>World Bank carbon pricing reporting indicates that direct carbon pricing now covers nearly 30% of global greenhouse gas emissions and has mobilized major public revenues, showing continued policy relevance.</w:t>
      </w:r>
    </w:p>
    <w:p>
      <w:pPr>
        <w:pStyle w:val="ListBullet"/>
      </w:pPr>
      <w:r>
        <w:t>Ecosystem Marketplace reported a 2023 contraction in voluntary carbon market transaction volume and value, highlighting the need for market integrity and transparency rather than exaggerated growth claims.</w:t>
      </w:r>
    </w:p>
    <w:p>
      <w:pPr>
        <w:pStyle w:val="ListBullet"/>
      </w:pPr>
      <w:r>
        <w:t>ICVCM and VCMI frameworks show that the market is moving toward higher-integrity supply, credible claims, monitoring, reporting, and assurance.</w:t>
      </w:r>
    </w:p>
    <w:p>
      <w:pPr>
        <w:pStyle w:val="ListBullet"/>
      </w:pPr>
      <w:r>
        <w:t>CSRD, SECR, and other reporting requirements create demand for reliable climate data and auditable reporting tools.</w:t>
      </w:r>
    </w:p>
    <w:p>
      <w:pPr>
        <w:pStyle w:val="Heading2"/>
      </w:pPr>
      <w:r>
        <w:t>Need by Segment</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160"/>
            <w:vAlign w:val="top"/>
            <w:shd w:fill="0F766E"/>
          </w:tcPr>
          <w:p>
            <w:r/>
            <w:r>
              <w:rPr>
                <w:b/>
                <w:color w:val="FFFFFF"/>
                <w:sz w:val="17"/>
              </w:rPr>
              <w:t>Segment</w:t>
            </w:r>
          </w:p>
        </w:tc>
        <w:tc>
          <w:tcPr>
            <w:tcW w:type="dxa" w:w="3168"/>
            <w:vAlign w:val="top"/>
            <w:shd w:fill="0F766E"/>
          </w:tcPr>
          <w:p>
            <w:r/>
            <w:r>
              <w:rPr>
                <w:b/>
                <w:color w:val="FFFFFF"/>
                <w:sz w:val="17"/>
              </w:rPr>
              <w:t>Pain Point</w:t>
            </w:r>
          </w:p>
        </w:tc>
        <w:tc>
          <w:tcPr>
            <w:tcW w:type="dxa" w:w="2880"/>
            <w:vAlign w:val="top"/>
            <w:shd w:fill="0F766E"/>
          </w:tcPr>
          <w:p>
            <w:r/>
            <w:r>
              <w:rPr>
                <w:b/>
                <w:color w:val="FFFFFF"/>
                <w:sz w:val="17"/>
              </w:rPr>
              <w:t>Evidence Needed</w:t>
            </w:r>
          </w:p>
        </w:tc>
        <w:tc>
          <w:tcPr>
            <w:tcW w:type="dxa" w:w="2880"/>
            <w:vAlign w:val="top"/>
            <w:shd w:fill="0F766E"/>
          </w:tcPr>
          <w:p>
            <w:r/>
            <w:r>
              <w:rPr>
                <w:b/>
                <w:color w:val="FFFFFF"/>
                <w:sz w:val="17"/>
              </w:rPr>
              <w:t>EcoConnect Fit</w:t>
            </w:r>
          </w:p>
        </w:tc>
      </w:tr>
      <w:tr>
        <w:tc>
          <w:tcPr>
            <w:tcW w:type="dxa" w:w="2160"/>
            <w:vAlign w:val="top"/>
          </w:tcPr>
          <w:p>
            <w:r/>
            <w:r>
              <w:rPr>
                <w:b w:val="0"/>
                <w:color w:val="0F172A"/>
                <w:sz w:val="17"/>
              </w:rPr>
              <w:t>SME buyers</w:t>
            </w:r>
          </w:p>
        </w:tc>
        <w:tc>
          <w:tcPr>
            <w:tcW w:type="dxa" w:w="3168"/>
            <w:vAlign w:val="top"/>
          </w:tcPr>
          <w:p>
            <w:r/>
            <w:r>
              <w:rPr>
                <w:b w:val="0"/>
                <w:color w:val="0F172A"/>
                <w:sz w:val="17"/>
              </w:rPr>
              <w:t>Limited internal expertise and budget for diligence.</w:t>
            </w:r>
          </w:p>
        </w:tc>
        <w:tc>
          <w:tcPr>
            <w:tcW w:type="dxa" w:w="2880"/>
            <w:vAlign w:val="top"/>
          </w:tcPr>
          <w:p>
            <w:r/>
            <w:r>
              <w:rPr>
                <w:b w:val="0"/>
                <w:color w:val="0F172A"/>
                <w:sz w:val="17"/>
              </w:rPr>
              <w:t>Customer interviews, LOIs, willingness-to-pay.</w:t>
            </w:r>
          </w:p>
        </w:tc>
        <w:tc>
          <w:tcPr>
            <w:tcW w:type="dxa" w:w="2880"/>
            <w:vAlign w:val="top"/>
          </w:tcPr>
          <w:p>
            <w:r/>
            <w:r>
              <w:rPr>
                <w:b w:val="0"/>
                <w:color w:val="0F172A"/>
                <w:sz w:val="17"/>
              </w:rPr>
              <w:t>Self-service discovery, standardized evidence, reports.</w:t>
            </w:r>
          </w:p>
        </w:tc>
      </w:tr>
      <w:tr>
        <w:tc>
          <w:tcPr>
            <w:tcW w:type="dxa" w:w="2160"/>
            <w:vAlign w:val="top"/>
          </w:tcPr>
          <w:p>
            <w:r/>
            <w:r>
              <w:rPr>
                <w:b w:val="0"/>
                <w:color w:val="0F172A"/>
                <w:sz w:val="17"/>
              </w:rPr>
              <w:t>Enterprise buyers</w:t>
            </w:r>
          </w:p>
        </w:tc>
        <w:tc>
          <w:tcPr>
            <w:tcW w:type="dxa" w:w="3168"/>
            <w:vAlign w:val="top"/>
          </w:tcPr>
          <w:p>
            <w:r/>
            <w:r>
              <w:rPr>
                <w:b w:val="0"/>
                <w:color w:val="0F172A"/>
                <w:sz w:val="17"/>
              </w:rPr>
              <w:t>Need auditable portfolio and claims documentation.</w:t>
            </w:r>
          </w:p>
        </w:tc>
        <w:tc>
          <w:tcPr>
            <w:tcW w:type="dxa" w:w="2880"/>
            <w:vAlign w:val="top"/>
          </w:tcPr>
          <w:p>
            <w:r/>
            <w:r>
              <w:rPr>
                <w:b w:val="0"/>
                <w:color w:val="0F172A"/>
                <w:sz w:val="17"/>
              </w:rPr>
              <w:t>Pilot agreements and compliance use cases.</w:t>
            </w:r>
          </w:p>
        </w:tc>
        <w:tc>
          <w:tcPr>
            <w:tcW w:type="dxa" w:w="2880"/>
            <w:vAlign w:val="top"/>
          </w:tcPr>
          <w:p>
            <w:r/>
            <w:r>
              <w:rPr>
                <w:b w:val="0"/>
                <w:color w:val="0F172A"/>
                <w:sz w:val="17"/>
              </w:rPr>
              <w:t>Dashboards, API, reporting templates.</w:t>
            </w:r>
          </w:p>
        </w:tc>
      </w:tr>
      <w:tr>
        <w:tc>
          <w:tcPr>
            <w:tcW w:type="dxa" w:w="2160"/>
            <w:vAlign w:val="top"/>
          </w:tcPr>
          <w:p>
            <w:r/>
            <w:r>
              <w:rPr>
                <w:b w:val="0"/>
                <w:color w:val="0F172A"/>
                <w:sz w:val="17"/>
              </w:rPr>
              <w:t>Project developers</w:t>
            </w:r>
          </w:p>
        </w:tc>
        <w:tc>
          <w:tcPr>
            <w:tcW w:type="dxa" w:w="3168"/>
            <w:vAlign w:val="top"/>
          </w:tcPr>
          <w:p>
            <w:r/>
            <w:r>
              <w:rPr>
                <w:b w:val="0"/>
                <w:color w:val="0F172A"/>
                <w:sz w:val="17"/>
              </w:rPr>
              <w:t>Need visibility and qualified buyer channels.</w:t>
            </w:r>
          </w:p>
        </w:tc>
        <w:tc>
          <w:tcPr>
            <w:tcW w:type="dxa" w:w="2880"/>
            <w:vAlign w:val="top"/>
          </w:tcPr>
          <w:p>
            <w:r/>
            <w:r>
              <w:rPr>
                <w:b w:val="0"/>
                <w:color w:val="0F172A"/>
                <w:sz w:val="17"/>
              </w:rPr>
              <w:t>Developer LOIs and data-sharing terms.</w:t>
            </w:r>
          </w:p>
        </w:tc>
        <w:tc>
          <w:tcPr>
            <w:tcW w:type="dxa" w:w="2880"/>
            <w:vAlign w:val="top"/>
          </w:tcPr>
          <w:p>
            <w:r/>
            <w:r>
              <w:rPr>
                <w:b w:val="0"/>
                <w:color w:val="0F172A"/>
                <w:sz w:val="17"/>
              </w:rPr>
              <w:t>Profiles, documentation workflows, buyer discovery.</w:t>
            </w:r>
          </w:p>
        </w:tc>
      </w:tr>
      <w:tr>
        <w:tc>
          <w:tcPr>
            <w:tcW w:type="dxa" w:w="2160"/>
            <w:vAlign w:val="top"/>
          </w:tcPr>
          <w:p>
            <w:r/>
            <w:r>
              <w:rPr>
                <w:b w:val="0"/>
                <w:color w:val="0F172A"/>
                <w:sz w:val="17"/>
              </w:rPr>
              <w:t>Grant funders/public sector</w:t>
            </w:r>
          </w:p>
        </w:tc>
        <w:tc>
          <w:tcPr>
            <w:tcW w:type="dxa" w:w="3168"/>
            <w:vAlign w:val="top"/>
          </w:tcPr>
          <w:p>
            <w:r/>
            <w:r>
              <w:rPr>
                <w:b w:val="0"/>
                <w:color w:val="0F172A"/>
                <w:sz w:val="17"/>
              </w:rPr>
              <w:t>Need public benefit and integrity safeguards.</w:t>
            </w:r>
          </w:p>
        </w:tc>
        <w:tc>
          <w:tcPr>
            <w:tcW w:type="dxa" w:w="2880"/>
            <w:vAlign w:val="top"/>
          </w:tcPr>
          <w:p>
            <w:r/>
            <w:r>
              <w:rPr>
                <w:b w:val="0"/>
                <w:color w:val="0F172A"/>
                <w:sz w:val="17"/>
              </w:rPr>
              <w:t>M&amp;E plan, evaluator, dissemination commitments.</w:t>
            </w:r>
          </w:p>
        </w:tc>
        <w:tc>
          <w:tcPr>
            <w:tcW w:type="dxa" w:w="2880"/>
            <w:vAlign w:val="top"/>
          </w:tcPr>
          <w:p>
            <w:r/>
            <w:r>
              <w:rPr>
                <w:b w:val="0"/>
                <w:color w:val="0F172A"/>
                <w:sz w:val="17"/>
              </w:rPr>
              <w:t>Transparency outputs and independent evaluation.</w:t>
            </w:r>
          </w:p>
        </w:tc>
      </w:tr>
    </w:tbl>
    <w:p>
      <w:pPr>
        <w:pStyle w:val="Heading2"/>
      </w:pPr>
      <w:r>
        <w:t>Competitive Landscape</w:t>
      </w:r>
    </w:p>
    <w:p>
      <w:r>
        <w:rPr>
          <w:b w:val="0"/>
        </w:rPr>
        <w:t>Direct competitors include carbon exchanges, registry interfaces, ratings providers, brokers, and emerging digital marketplaces. Indirect competitors include ESG software providers and sustainability consulting firms. EcoConnect should not claim it has no competition. Its viable differentiation is a focused workflow for SME access, documentation transparency, and auditable reporting rather than exchange-scale trading volume.</w:t>
      </w:r>
    </w:p>
    <w:p>
      <w:pPr>
        <w:pStyle w:val="Heading2"/>
      </w:pPr>
      <w:r>
        <w:t>Grant-Relevant Market Failure</w:t>
      </w:r>
    </w:p>
    <w:p>
      <w:r>
        <w:rPr>
          <w:b w:val="0"/>
        </w:rPr>
        <w:t>The public funding rationale is information asymmetry. Carbon credit quality is hard for many buyers to evaluate, and the benefits of transparent market infrastructure extend beyond one private company. A grant-funded pilot can create public learning, reduce barriers for SMEs, and test safeguards that support more credible climate finance.</w:t>
      </w:r>
    </w:p>
    <w:p>
      <w:pPr>
        <w:pStyle w:val="Heading2"/>
      </w:pPr>
      <w:r>
        <w:t>Source Notes</w:t>
      </w:r>
    </w:p>
    <w:p>
      <w:r>
        <w:rPr>
          <w:b w:val="0"/>
        </w:rPr>
        <w:t>Source documents reviewed:</w:t>
      </w:r>
    </w:p>
    <w:p>
      <w:pPr>
        <w:pStyle w:val="ListBullet"/>
      </w:pPr>
      <w:r>
        <w:t>retirement_idea.docx - concept plan for a global marketplace for carbon credits and sustainability initiatives</w:t>
      </w:r>
    </w:p>
    <w:p>
      <w:pPr>
        <w:pStyle w:val="ListBullet"/>
      </w:pPr>
      <w:r>
        <w:t>retirement_plan.docx - comprehensive business plan for EcoConnect Global Ltd.</w:t>
      </w:r>
    </w:p>
    <w:p>
      <w:pPr>
        <w:pStyle w:val="ListBullet"/>
      </w:pPr>
      <w:r>
        <w:t>retirement_funds_request.docx - detailed $50 million investor-oriented use of funds</w:t>
      </w:r>
    </w:p>
    <w:p>
      <w:r>
        <w:rPr>
          <w:b w:val="0"/>
        </w:rPr>
        <w:t>External market and compliance sources used for sanity-checking and grant framing:</w:t>
      </w:r>
    </w:p>
    <w:p>
      <w:pPr>
        <w:pStyle w:val="ListBullet"/>
      </w:pPr>
      <w:r>
        <w:t>World Bank - State and Trends of Carbon Pricing: https://www.worldbank.org/en/publication/state-and-trends-of-carbon-pricing</w:t>
      </w:r>
    </w:p>
    <w:p>
      <w:pPr>
        <w:pStyle w:val="ListBullet"/>
      </w:pPr>
      <w:r>
        <w:t>Ecosystem Marketplace - 2024 State of the Voluntary Carbon Market / market contraction article: https://www.ecosystemmarketplace.com/articles/report-the-voluntary-carbon-market-contracted-in-2023-driven-by-drop-off-in-transactions-for-redd-and-renewable-energy/</w:t>
      </w:r>
    </w:p>
    <w:p>
      <w:pPr>
        <w:pStyle w:val="ListBullet"/>
      </w:pPr>
      <w:r>
        <w:t>ICVCM - Core Carbon Principles and Assessment Framework: https://icvcm.org/wp-content/uploads/2024/02/CCP-Book-V1.1-FINAL-LowRes-15May24.pdf</w:t>
      </w:r>
    </w:p>
    <w:p>
      <w:pPr>
        <w:pStyle w:val="ListBullet"/>
      </w:pPr>
      <w:r>
        <w:t>VCMI - Claims Code of Practice and MRA framework: https://vcmintegrity.org/vcmi-claims-code-of-practice/</w:t>
      </w:r>
    </w:p>
    <w:p>
      <w:pPr>
        <w:pStyle w:val="ListBullet"/>
      </w:pPr>
      <w:r>
        <w:t>U.S. Treasury - Voluntary Carbon Markets Joint Policy Statement and Principles: https://home.treasury.gov/system/files/136/VCM-Joint-Policy-Statement-and-Principles.pdf</w:t>
      </w:r>
    </w:p>
    <w:p>
      <w:pPr>
        <w:pStyle w:val="ListBullet"/>
      </w:pPr>
      <w:r>
        <w:t>European Commission - Corporate sustainability reporting / CSRD: https://finance.ec.europa.eu/financial-markets/company-reporting-and-auditing/company-reporting/corporate-sustainability-reporting_en</w:t>
      </w:r>
    </w:p>
    <w:p>
      <w:pPr>
        <w:pStyle w:val="ListBullet"/>
      </w:pPr>
      <w:r>
        <w:t>European Commission - EU Emissions Trading System: https://climate.ec.europa.eu/eu-action/carbon-markets/eu-emissions-trading-system-eu-ets_en</w:t>
      </w:r>
    </w:p>
    <w:p>
      <w:pPr>
        <w:pStyle w:val="ListBullet"/>
      </w:pPr>
      <w:r>
        <w:t>GOV.UK - Environmental reporting guidelines including SECR: https://www.gov.uk/government/publications/environmental-reporting-guidelines-including-mandatory-greenhouse-gas-emissions-reporting-guidance</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EcoConnect Global Ltd. | Grant-ready draft | May 19,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748B"/>
        <w:sz w:val="16"/>
      </w:rPr>
      <w:t>Market/Need Analysis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F766E"/>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34E4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33415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