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766E"/>
          <w:sz w:val="28"/>
        </w:rPr>
        <w:t>EcoConnect Global Ltd.</w:t>
      </w:r>
    </w:p>
    <w:p>
      <w:pPr>
        <w:jc w:val="center"/>
      </w:pPr>
      <w:r>
        <w:rPr>
          <w:b/>
          <w:color w:val="0F172A"/>
          <w:sz w:val="52"/>
        </w:rPr>
        <w:t>Implementation Timeline</w:t>
      </w:r>
    </w:p>
    <w:p>
      <w:pPr>
        <w:jc w:val="center"/>
      </w:pPr>
      <w:r>
        <w:rPr>
          <w:color w:val="475569"/>
          <w:sz w:val="24"/>
        </w:rPr>
        <w:t>Transparent, data-driven marketplace infrastructure for verified carbon credits</w:t>
      </w:r>
    </w:p>
    <w:p>
      <w:pPr>
        <w:jc w:val="center"/>
      </w:pPr>
      <w:r>
        <w:rPr>
          <w:i/>
          <w:color w:val="64748B"/>
          <w:sz w:val="20"/>
        </w:rPr>
        <w:t>Grant Application Support Document</w:t>
      </w:r>
    </w:p>
    <w:p/>
    <w:p>
      <w:pPr>
        <w:jc w:val="center"/>
      </w:pPr>
      <w:r>
        <w:rPr>
          <w:color w:val="64748B"/>
          <w:sz w:val="20"/>
        </w:rPr>
        <w:t>Prepared: May 19,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0FDFA"/>
          </w:tcPr>
          <w:p>
            <w:pPr>
              <w:jc w:val="center"/>
            </w:pPr>
            <w:r/>
            <w:r>
              <w:rPr>
                <w:color w:val="0F766E"/>
                <w:sz w:val="20"/>
              </w:rPr>
              <w:t>Draft status: grant-ready structure with explicit placeholders. Final submission requires applicant verification, legal review, program-specific eligibility review, and replacement of all missing data.</w:t>
            </w:r>
          </w:p>
        </w:tc>
      </w:tr>
    </w:tbl>
    <w:p>
      <w:r>
        <w:br w:type="page"/>
      </w:r>
    </w:p>
    <w:p>
      <w:pPr>
        <w:pStyle w:val="Heading1"/>
      </w:pPr>
      <w:r>
        <w:t>Implementation Timeline</w:t>
      </w:r>
    </w:p>
    <w:p>
      <w:r>
        <w:rPr>
          <w:b w:val="0"/>
        </w:rPr>
        <w:t>This timeline assumes a 24-month grant-funded pilot beginning July 2026. Dates must be revised after award notification and contracting.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304"/>
            <w:vAlign w:val="top"/>
            <w:shd w:fill="0F766E"/>
          </w:tcPr>
          <w:p>
            <w:r/>
            <w:r>
              <w:rPr>
                <w:b/>
                <w:color w:val="FFFFFF"/>
                <w:sz w:val="15"/>
              </w:rPr>
              <w:t>Phase</w:t>
            </w:r>
          </w:p>
        </w:tc>
        <w:tc>
          <w:tcPr>
            <w:tcW w:type="dxa" w:w="1152"/>
            <w:vAlign w:val="top"/>
            <w:shd w:fill="0F766E"/>
          </w:tcPr>
          <w:p>
            <w:r/>
            <w:r>
              <w:rPr>
                <w:b/>
                <w:color w:val="FFFFFF"/>
                <w:sz w:val="15"/>
              </w:rPr>
              <w:t>Months</w:t>
            </w:r>
          </w:p>
        </w:tc>
        <w:tc>
          <w:tcPr>
            <w:tcW w:type="dxa" w:w="4464"/>
            <w:vAlign w:val="top"/>
            <w:shd w:fill="0F766E"/>
          </w:tcPr>
          <w:p>
            <w:r/>
            <w:r>
              <w:rPr>
                <w:b/>
                <w:color w:val="FFFFFF"/>
                <w:sz w:val="15"/>
              </w:rPr>
              <w:t>Major Activities</w:t>
            </w:r>
          </w:p>
        </w:tc>
        <w:tc>
          <w:tcPr>
            <w:tcW w:type="dxa" w:w="3456"/>
            <w:vAlign w:val="top"/>
            <w:shd w:fill="0F766E"/>
          </w:tcPr>
          <w:p>
            <w:r/>
            <w:r>
              <w:rPr>
                <w:b/>
                <w:color w:val="FFFFFF"/>
                <w:sz w:val="15"/>
              </w:rPr>
              <w:t>Key Deliverables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1. Award mobilization and governance</w:t>
            </w:r>
          </w:p>
        </w:tc>
        <w:tc>
          <w:tcPr>
            <w:tcW w:type="dxa" w:w="1152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1-2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Finalize grant agreement, appoint project manager, confirm controls, procurement plan, and reporting calendar.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Kickoff pack, governance charter, procurement/compliance file, risk register.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2. Technical discovery and architecture</w:t>
            </w:r>
          </w:p>
        </w:tc>
        <w:tc>
          <w:tcPr>
            <w:tcW w:type="dxa" w:w="1152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1-3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Validate user requirements, map registries/data sources, define MVP scope, complete security architecture.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Product requirements, architecture diagram, data map, DPIA scope.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3. MVP and data pipeline build</w:t>
            </w:r>
          </w:p>
        </w:tc>
        <w:tc>
          <w:tcPr>
            <w:tcW w:type="dxa" w:w="1152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3-8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Develop marketplace browser, registry ingestion, standardized project profiles, dashboards, and audit logs.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MVP demo, data pipeline, initial project profiles, QA report.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4. Integrity framework and compliance review</w:t>
            </w:r>
          </w:p>
        </w:tc>
        <w:tc>
          <w:tcPr>
            <w:tcW w:type="dxa" w:w="1152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4-10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Develop credit quality criteria, claims policy, verification workflow, legal review, and cybersecurity controls.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Integrity methodology, claims policy, legal memo, security test plan.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5. Pilot onboarding</w:t>
            </w:r>
          </w:p>
        </w:tc>
        <w:tc>
          <w:tcPr>
            <w:tcW w:type="dxa" w:w="1152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7-14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Recruit pilot buyers and project developers, run training, collect feedback, revise UX and reporting outputs.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10-20 buyer LOIs/users, 5-10 project developer participants, training materials.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6. Transaction and retirement tracking pilot</w:t>
            </w:r>
          </w:p>
        </w:tc>
        <w:tc>
          <w:tcPr>
            <w:tcW w:type="dxa" w:w="1152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12-20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Test purchase/retirement tracking workflow, reporting, customer support, and public benefit metrics.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Pilot transaction/retirement reports, user satisfaction data, issue log.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7. Public beta and dissemination</w:t>
            </w:r>
          </w:p>
        </w:tc>
        <w:tc>
          <w:tcPr>
            <w:tcW w:type="dxa" w:w="1152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18-22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Release beta features, publish public learning, hold workshops, prepare scale plan.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Public beta, workshops, methodology note, dissemination report.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8. Evaluation and sustainability planning</w:t>
            </w:r>
          </w:p>
        </w:tc>
        <w:tc>
          <w:tcPr>
            <w:tcW w:type="dxa" w:w="1152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21-24</w:t>
            </w:r>
          </w:p>
        </w:tc>
        <w:tc>
          <w:tcPr>
            <w:tcW w:type="dxa" w:w="4464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Independent evaluation, final reporting, financial sustainability plan, next-stage funding strategy.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  <w:color w:val="0F172A"/>
                <w:sz w:val="15"/>
              </w:rPr>
              <w:t>Final evaluation, final grant report, commercialization/scale plan.</w:t>
            </w:r>
          </w:p>
        </w:tc>
      </w:tr>
    </w:tbl>
    <w:p>
      <w:pPr>
        <w:pStyle w:val="Heading2"/>
      </w:pPr>
      <w:r>
        <w:t>Milestone Approval Gates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2304"/>
            <w:vAlign w:val="top"/>
            <w:shd w:fill="0F766E"/>
          </w:tcPr>
          <w:p>
            <w:r/>
            <w:r>
              <w:rPr>
                <w:b/>
                <w:color w:val="FFFFFF"/>
                <w:sz w:val="17"/>
              </w:rPr>
              <w:t>Gate</w:t>
            </w:r>
          </w:p>
        </w:tc>
        <w:tc>
          <w:tcPr>
            <w:tcW w:type="dxa" w:w="7200"/>
            <w:vAlign w:val="top"/>
            <w:shd w:fill="0F766E"/>
          </w:tcPr>
          <w:p>
            <w:r/>
            <w:r>
              <w:rPr>
                <w:b/>
                <w:color w:val="FFFFFF"/>
                <w:sz w:val="17"/>
              </w:rPr>
              <w:t>Approval Criteria</w:t>
            </w:r>
          </w:p>
        </w:tc>
        <w:tc>
          <w:tcPr>
            <w:tcW w:type="dxa" w:w="2016"/>
            <w:vAlign w:val="top"/>
            <w:shd w:fill="0F766E"/>
          </w:tcPr>
          <w:p>
            <w:r/>
            <w:r>
              <w:rPr>
                <w:b/>
                <w:color w:val="FFFFFF"/>
                <w:sz w:val="17"/>
              </w:rPr>
              <w:t>Decision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Gate 1 - Mobilization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Grant agreement executed, financial controls active, procurement policy approved, risk register opened.</w:t>
            </w:r>
          </w:p>
        </w:tc>
        <w:tc>
          <w:tcPr>
            <w:tcW w:type="dxa" w:w="2016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Proceed to build.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Gate 2 - MVP readiness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MVP demo complete, data sources documented, security baseline complete, compliance framework drafted.</w:t>
            </w:r>
          </w:p>
        </w:tc>
        <w:tc>
          <w:tcPr>
            <w:tcW w:type="dxa" w:w="2016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Proceed to pilot onboarding.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Gate 3 - Pilot operations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LOIs signed, user training complete, support process live, reporting templates tested.</w:t>
            </w:r>
          </w:p>
        </w:tc>
        <w:tc>
          <w:tcPr>
            <w:tcW w:type="dxa" w:w="2016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Proceed to transaction/retirement tracking pilot.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Gate 4 - Public beta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Independent interim review complete, critical security issues resolved, claims policy approved.</w:t>
            </w:r>
          </w:p>
        </w:tc>
        <w:tc>
          <w:tcPr>
            <w:tcW w:type="dxa" w:w="2016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Proceed to dissemination and scale planning.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Gate 5 - Closeout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Final evaluation complete, financial report submitted, sustainability plan approved.</w:t>
            </w:r>
          </w:p>
        </w:tc>
        <w:tc>
          <w:tcPr>
            <w:tcW w:type="dxa" w:w="2016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Close grant and launch next-stage financing.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EcoConnect Global Ltd. | Grant-ready draft | May 19,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4748B"/>
        <w:sz w:val="16"/>
      </w:rPr>
      <w:t>Implementation Timeline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F766E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134E4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33415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