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0F766E"/>
          <w:sz w:val="28"/>
        </w:rPr>
        <w:t>EcoConnect Global Ltd.</w:t>
      </w:r>
    </w:p>
    <w:p>
      <w:pPr>
        <w:jc w:val="center"/>
      </w:pPr>
      <w:r>
        <w:rPr>
          <w:b/>
          <w:color w:val="0F172A"/>
          <w:sz w:val="52"/>
        </w:rPr>
        <w:t>Impact Statement</w:t>
      </w:r>
    </w:p>
    <w:p>
      <w:pPr>
        <w:jc w:val="center"/>
      </w:pPr>
      <w:r>
        <w:rPr>
          <w:color w:val="475569"/>
          <w:sz w:val="24"/>
        </w:rPr>
        <w:t>Transparent, data-driven marketplace infrastructure for verified carbon credits</w:t>
      </w:r>
    </w:p>
    <w:p>
      <w:pPr>
        <w:jc w:val="center"/>
      </w:pPr>
      <w:r>
        <w:rPr>
          <w:i/>
          <w:color w:val="64748B"/>
          <w:sz w:val="20"/>
        </w:rPr>
        <w:t>Grant Application Support Document</w:t>
      </w:r>
    </w:p>
    <w:p/>
    <w:p>
      <w:pPr>
        <w:jc w:val="center"/>
      </w:pPr>
      <w:r>
        <w:rPr>
          <w:color w:val="64748B"/>
          <w:sz w:val="20"/>
        </w:rPr>
        <w:t>Prepared: May 19, 2026</w:t>
      </w:r>
    </w:p>
    <w:p/>
    <w:tbl>
      <w:tblPr>
        <w:tblW w:type="auto" w:w="0"/>
        <w:jc w:val="center"/>
        <w:tblLook w:firstColumn="1" w:firstRow="1" w:lastColumn="0" w:lastRow="0" w:noHBand="0" w:noVBand="1" w:val="04A0"/>
      </w:tblPr>
      <w:tblGrid>
        <w:gridCol w:w="10080"/>
      </w:tblGrid>
      <w:tr>
        <w:tc>
          <w:tcPr>
            <w:tcW w:type="dxa" w:w="10080"/>
            <w:shd w:fill="F0FDFA"/>
          </w:tcPr>
          <w:p>
            <w:pPr>
              <w:jc w:val="center"/>
            </w:pPr>
            <w:r/>
            <w:r>
              <w:rPr>
                <w:color w:val="0F766E"/>
                <w:sz w:val="20"/>
              </w:rPr>
              <w:t>Draft status: grant-ready structure with explicit placeholders. Final submission requires applicant verification, legal review, program-specific eligibility review, and replacement of all missing data.</w:t>
            </w:r>
          </w:p>
        </w:tc>
      </w:tr>
    </w:tbl>
    <w:p>
      <w:r>
        <w:br w:type="page"/>
      </w:r>
    </w:p>
    <w:p>
      <w:pPr>
        <w:pStyle w:val="Heading1"/>
      </w:pPr>
      <w:r>
        <w:t>Impact Statement</w:t>
      </w:r>
    </w:p>
    <w:p>
      <w:r>
        <w:rPr>
          <w:b w:val="0"/>
        </w:rPr>
        <w:t>EcoConnect's impact should be measured conservatively and credibly. The project should not claim emissions reductions simply by listing projects or facilitating interest. Climate impact should be reported only when credits are verified, purchased, retired, and linked to appropriate claims guidance. The grant-funded impact case is strongest when framed as enabling transparency, SME access, market integrity, and climate-finance accountability.</w:t>
      </w:r>
    </w:p>
    <w:p>
      <w:pPr>
        <w:pStyle w:val="Heading2"/>
      </w:pPr>
      <w:r>
        <w:t>Expected Impact Pathway</w:t>
      </w:r>
    </w:p>
    <w:tbl>
      <w:tblPr>
        <w:tblStyle w:val="TableGrid"/>
        <w:tblW w:type="auto" w:w="0"/>
        <w:jc w:val="center"/>
        <w:tblLook w:firstColumn="1" w:firstRow="1" w:lastColumn="0" w:lastRow="0" w:noHBand="0" w:noVBand="1" w:val="04A0"/>
      </w:tblPr>
      <w:tblGrid>
        <w:gridCol w:w="2016"/>
        <w:gridCol w:w="2016"/>
        <w:gridCol w:w="2016"/>
        <w:gridCol w:w="2016"/>
        <w:gridCol w:w="2016"/>
      </w:tblGrid>
      <w:tr>
        <w:tc>
          <w:tcPr>
            <w:tcW w:type="dxa" w:w="2016"/>
            <w:vAlign w:val="top"/>
            <w:shd w:fill="0F766E"/>
          </w:tcPr>
          <w:p>
            <w:r/>
            <w:r>
              <w:rPr>
                <w:b/>
                <w:color w:val="FFFFFF"/>
                <w:sz w:val="15"/>
              </w:rPr>
              <w:t>Input</w:t>
            </w:r>
          </w:p>
        </w:tc>
        <w:tc>
          <w:tcPr>
            <w:tcW w:type="dxa" w:w="2304"/>
            <w:vAlign w:val="top"/>
            <w:shd w:fill="0F766E"/>
          </w:tcPr>
          <w:p>
            <w:r/>
            <w:r>
              <w:rPr>
                <w:b/>
                <w:color w:val="FFFFFF"/>
                <w:sz w:val="15"/>
              </w:rPr>
              <w:t>Activity</w:t>
            </w:r>
          </w:p>
        </w:tc>
        <w:tc>
          <w:tcPr>
            <w:tcW w:type="dxa" w:w="2160"/>
            <w:vAlign w:val="top"/>
            <w:shd w:fill="0F766E"/>
          </w:tcPr>
          <w:p>
            <w:r/>
            <w:r>
              <w:rPr>
                <w:b/>
                <w:color w:val="FFFFFF"/>
                <w:sz w:val="15"/>
              </w:rPr>
              <w:t>Output</w:t>
            </w:r>
          </w:p>
        </w:tc>
        <w:tc>
          <w:tcPr>
            <w:tcW w:type="dxa" w:w="2304"/>
            <w:vAlign w:val="top"/>
            <w:shd w:fill="0F766E"/>
          </w:tcPr>
          <w:p>
            <w:r/>
            <w:r>
              <w:rPr>
                <w:b/>
                <w:color w:val="FFFFFF"/>
                <w:sz w:val="15"/>
              </w:rPr>
              <w:t>Outcome</w:t>
            </w:r>
          </w:p>
        </w:tc>
        <w:tc>
          <w:tcPr>
            <w:tcW w:type="dxa" w:w="2304"/>
            <w:vAlign w:val="top"/>
            <w:shd w:fill="0F766E"/>
          </w:tcPr>
          <w:p>
            <w:r/>
            <w:r>
              <w:rPr>
                <w:b/>
                <w:color w:val="FFFFFF"/>
                <w:sz w:val="15"/>
              </w:rPr>
              <w:t>Longer-Term Impact</w:t>
            </w:r>
          </w:p>
        </w:tc>
      </w:tr>
      <w:tr>
        <w:tc>
          <w:tcPr>
            <w:tcW w:type="dxa" w:w="2016"/>
            <w:vAlign w:val="top"/>
          </w:tcPr>
          <w:p>
            <w:r/>
            <w:r>
              <w:rPr>
                <w:b w:val="0"/>
                <w:color w:val="0F172A"/>
                <w:sz w:val="15"/>
              </w:rPr>
              <w:t>Grant funds, match, technical team, advisors, partners.</w:t>
            </w:r>
          </w:p>
        </w:tc>
        <w:tc>
          <w:tcPr>
            <w:tcW w:type="dxa" w:w="2304"/>
            <w:vAlign w:val="top"/>
          </w:tcPr>
          <w:p>
            <w:r/>
            <w:r>
              <w:rPr>
                <w:b w:val="0"/>
                <w:color w:val="0F172A"/>
                <w:sz w:val="15"/>
              </w:rPr>
              <w:t>Build platform, standardize data, screen integrity risks, onboard pilots, train users.</w:t>
            </w:r>
          </w:p>
        </w:tc>
        <w:tc>
          <w:tcPr>
            <w:tcW w:type="dxa" w:w="2160"/>
            <w:vAlign w:val="top"/>
          </w:tcPr>
          <w:p>
            <w:r/>
            <w:r>
              <w:rPr>
                <w:b w:val="0"/>
                <w:color w:val="0F172A"/>
                <w:sz w:val="15"/>
              </w:rPr>
              <w:t>Project profiles, reports, methodology, pilot users, workshops, evaluation.</w:t>
            </w:r>
          </w:p>
        </w:tc>
        <w:tc>
          <w:tcPr>
            <w:tcW w:type="dxa" w:w="2304"/>
            <w:vAlign w:val="top"/>
          </w:tcPr>
          <w:p>
            <w:r/>
            <w:r>
              <w:rPr>
                <w:b w:val="0"/>
                <w:color w:val="0F172A"/>
                <w:sz w:val="15"/>
              </w:rPr>
              <w:t>Better buyer understanding, lower diligence friction, more credible reporting, better project visibility.</w:t>
            </w:r>
          </w:p>
        </w:tc>
        <w:tc>
          <w:tcPr>
            <w:tcW w:type="dxa" w:w="2304"/>
            <w:vAlign w:val="top"/>
          </w:tcPr>
          <w:p>
            <w:r/>
            <w:r>
              <w:rPr>
                <w:b w:val="0"/>
                <w:color w:val="0F172A"/>
                <w:sz w:val="15"/>
              </w:rPr>
              <w:t>Higher-integrity climate finance flows and reduced greenwashing risk.</w:t>
            </w:r>
          </w:p>
        </w:tc>
      </w:tr>
    </w:tbl>
    <w:p>
      <w:pPr>
        <w:pStyle w:val="Heading2"/>
      </w:pPr>
      <w:r>
        <w:t>Target Impacts by Month 24</w:t>
      </w:r>
    </w:p>
    <w:p>
      <w:pPr>
        <w:pStyle w:val="ListBullet"/>
      </w:pPr>
      <w:r>
        <w:t>150 standardized project profiles integrated and quality checked.</w:t>
      </w:r>
    </w:p>
    <w:p>
      <w:pPr>
        <w:pStyle w:val="ListBullet"/>
      </w:pPr>
      <w:r>
        <w:t>10-20 pilot buyers onboarded, with a focus on SMEs and tech-forward corporates.</w:t>
      </w:r>
    </w:p>
    <w:p>
      <w:pPr>
        <w:pStyle w:val="ListBullet"/>
      </w:pPr>
      <w:r>
        <w:t>5-10 project developers onboarded.</w:t>
      </w:r>
    </w:p>
    <w:p>
      <w:pPr>
        <w:pStyle w:val="ListBullet"/>
      </w:pPr>
      <w:r>
        <w:t>50 auditable buyer reports generated.</w:t>
      </w:r>
    </w:p>
    <w:p>
      <w:pPr>
        <w:pStyle w:val="ListBullet"/>
      </w:pPr>
      <w:r>
        <w:t>8 workshops/webinars delivered to increase market literacy.</w:t>
      </w:r>
    </w:p>
    <w:p>
      <w:pPr>
        <w:pStyle w:val="ListBullet"/>
      </w:pPr>
      <w:r>
        <w:t>Independent evaluation completed and published in an appropriate form.</w:t>
      </w:r>
    </w:p>
    <w:p>
      <w:pPr>
        <w:pStyle w:val="ListBullet"/>
      </w:pPr>
      <w:r>
        <w:t>Zero unverified emissions reduction claims issued by the project.</w:t>
      </w:r>
    </w:p>
    <w:p>
      <w:pPr>
        <w:pStyle w:val="Heading2"/>
      </w:pPr>
      <w:r>
        <w:t>Economic and Social Impact</w:t>
      </w:r>
    </w:p>
    <w:p>
      <w:r>
        <w:rPr>
          <w:b w:val="0"/>
        </w:rPr>
        <w:t>The project can create skilled jobs and contractor opportunities in software engineering, data engineering, compliance, product management, customer success, and impact evaluation. It can also help smaller organizations access credible climate action tools that are currently easier for large corporates to obtain. Project developers may benefit from improved visibility, provided safeguards are in place to avoid low-integrity claims and protect communities connected to carbon projects.</w:t>
      </w:r>
    </w:p>
    <w:p>
      <w:pPr>
        <w:pStyle w:val="Heading2"/>
      </w:pPr>
      <w:r>
        <w:t>Environmental Integrity Statement</w:t>
      </w:r>
    </w:p>
    <w:p>
      <w:r>
        <w:rPr>
          <w:b w:val="0"/>
        </w:rPr>
        <w:t>EcoConnect will align its methodology with recognized integrity frameworks and will require documented evidence before environmental claims are made. The platform will distinguish between credits listed, credits analyzed, credits purchased, and credits retired. Only verified retirements will be considered for buyer impact reporting.</w:t>
      </w:r>
    </w:p>
    <w:p>
      <w:pPr>
        <w:pStyle w:val="Heading2"/>
      </w:pPr>
      <w:r>
        <w:t>Source Notes</w:t>
      </w:r>
    </w:p>
    <w:p>
      <w:r>
        <w:rPr>
          <w:b w:val="0"/>
        </w:rPr>
        <w:t>Source documents reviewed:</w:t>
      </w:r>
    </w:p>
    <w:p>
      <w:pPr>
        <w:pStyle w:val="ListBullet"/>
      </w:pPr>
      <w:r>
        <w:t>retirement_idea.docx - concept plan for a global marketplace for carbon credits and sustainability initiatives</w:t>
      </w:r>
    </w:p>
    <w:p>
      <w:pPr>
        <w:pStyle w:val="ListBullet"/>
      </w:pPr>
      <w:r>
        <w:t>retirement_plan.docx - comprehensive business plan for EcoConnect Global Ltd.</w:t>
      </w:r>
    </w:p>
    <w:p>
      <w:pPr>
        <w:pStyle w:val="ListBullet"/>
      </w:pPr>
      <w:r>
        <w:t>retirement_funds_request.docx - detailed $50 million investor-oriented use of funds</w:t>
      </w:r>
    </w:p>
    <w:p>
      <w:r>
        <w:rPr>
          <w:b w:val="0"/>
        </w:rPr>
        <w:t>External market and compliance sources used for sanity-checking and grant framing:</w:t>
      </w:r>
    </w:p>
    <w:p>
      <w:pPr>
        <w:pStyle w:val="ListBullet"/>
      </w:pPr>
      <w:r>
        <w:t>World Bank - State and Trends of Carbon Pricing: https://www.worldbank.org/en/publication/state-and-trends-of-carbon-pricing</w:t>
      </w:r>
    </w:p>
    <w:p>
      <w:pPr>
        <w:pStyle w:val="ListBullet"/>
      </w:pPr>
      <w:r>
        <w:t>Ecosystem Marketplace - 2024 State of the Voluntary Carbon Market / market contraction article: https://www.ecosystemmarketplace.com/articles/report-the-voluntary-carbon-market-contracted-in-2023-driven-by-drop-off-in-transactions-for-redd-and-renewable-energy/</w:t>
      </w:r>
    </w:p>
    <w:p>
      <w:pPr>
        <w:pStyle w:val="ListBullet"/>
      </w:pPr>
      <w:r>
        <w:t>ICVCM - Core Carbon Principles and Assessment Framework: https://icvcm.org/wp-content/uploads/2024/02/CCP-Book-V1.1-FINAL-LowRes-15May24.pdf</w:t>
      </w:r>
    </w:p>
    <w:p>
      <w:pPr>
        <w:pStyle w:val="ListBullet"/>
      </w:pPr>
      <w:r>
        <w:t>VCMI - Claims Code of Practice and MRA framework: https://vcmintegrity.org/vcmi-claims-code-of-practice/</w:t>
      </w:r>
    </w:p>
    <w:p>
      <w:pPr>
        <w:pStyle w:val="ListBullet"/>
      </w:pPr>
      <w:r>
        <w:t>U.S. Treasury - Voluntary Carbon Markets Joint Policy Statement and Principles: https://home.treasury.gov/system/files/136/VCM-Joint-Policy-Statement-and-Principles.pdf</w:t>
      </w:r>
    </w:p>
    <w:p>
      <w:pPr>
        <w:pStyle w:val="ListBullet"/>
      </w:pPr>
      <w:r>
        <w:t>European Commission - Corporate sustainability reporting / CSRD: https://finance.ec.europa.eu/financial-markets/company-reporting-and-auditing/company-reporting/corporate-sustainability-reporting_en</w:t>
      </w:r>
    </w:p>
    <w:p>
      <w:pPr>
        <w:pStyle w:val="ListBullet"/>
      </w:pPr>
      <w:r>
        <w:t>European Commission - EU Emissions Trading System: https://climate.ec.europa.eu/eu-action/carbon-markets/eu-emissions-trading-system-eu-ets_en</w:t>
      </w:r>
    </w:p>
    <w:p>
      <w:pPr>
        <w:pStyle w:val="ListBullet"/>
      </w:pPr>
      <w:r>
        <w:t>GOV.UK - Environmental reporting guidelines including SECR: https://www.gov.uk/government/publications/environmental-reporting-guidelines-including-mandatory-greenhouse-gas-emissions-reporting-guidance</w:t>
      </w:r>
    </w:p>
    <w:sectPr w:rsidR="00FC693F" w:rsidRPr="0006063C" w:rsidSect="00034616">
      <w:headerReference w:type="default" r:id="rId9"/>
      <w:footerReference w:type="default" r:id="rId10"/>
      <w:pgSz w:w="12240" w:h="15840"/>
      <w:pgMar w:top="1008" w:right="1080" w:bottom="936"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64748B"/>
        <w:sz w:val="16"/>
      </w:rPr>
      <w:t>EcoConnect Global Ltd. | Grant-ready draft | May 19, 2026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color w:val="64748B"/>
        <w:sz w:val="16"/>
      </w:rPr>
      <w:t>Impact Statement</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ptos" w:hAnsi="Aptos" w:eastAsia="Aptos"/>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ptos Display" w:hAnsi="Aptos Display" w:eastAsia="Aptos Display"/>
      <w:b/>
      <w:bCs/>
      <w:color w:val="0F766E"/>
      <w:sz w:val="36"/>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ptos Display" w:hAnsi="Aptos Display" w:eastAsia="Aptos Display"/>
      <w:b/>
      <w:bCs/>
      <w:color w:val="134E4A"/>
      <w:sz w:val="28"/>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ptos Display" w:hAnsi="Aptos Display" w:eastAsia="Aptos Display"/>
      <w:b/>
      <w:bCs/>
      <w:color w:val="334155"/>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