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766E"/>
          <w:sz w:val="28"/>
        </w:rPr>
        <w:t>EcoConnect Global Ltd.</w:t>
      </w:r>
    </w:p>
    <w:p>
      <w:pPr>
        <w:jc w:val="center"/>
      </w:pPr>
      <w:r>
        <w:rPr>
          <w:b/>
          <w:color w:val="0F172A"/>
          <w:sz w:val="52"/>
        </w:rPr>
        <w:t>Grant Application Narrative</w:t>
      </w:r>
    </w:p>
    <w:p>
      <w:pPr>
        <w:jc w:val="center"/>
      </w:pPr>
      <w:r>
        <w:rPr>
          <w:color w:val="475569"/>
          <w:sz w:val="24"/>
        </w:rPr>
        <w:t>Transparent, data-driven marketplace infrastructure for verified carbon credits</w:t>
      </w:r>
    </w:p>
    <w:p>
      <w:pPr>
        <w:jc w:val="center"/>
      </w:pPr>
      <w:r>
        <w:rPr>
          <w:i/>
          <w:color w:val="64748B"/>
          <w:sz w:val="20"/>
        </w:rPr>
        <w:t>Grant Application Support Document</w:t>
      </w:r>
    </w:p>
    <w:p/>
    <w:p>
      <w:pPr>
        <w:jc w:val="center"/>
      </w:pPr>
      <w:r>
        <w:rPr>
          <w:color w:val="64748B"/>
          <w:sz w:val="20"/>
        </w:rPr>
        <w:t>Prepared: May 19, 2026</w:t>
      </w:r>
    </w:p>
    <w:p/>
    <w:tbl>
      <w:tblPr>
        <w:tblW w:type="auto" w:w="0"/>
        <w:jc w:val="center"/>
        <w:tblLook w:firstColumn="1" w:firstRow="1" w:lastColumn="0" w:lastRow="0" w:noHBand="0" w:noVBand="1" w:val="04A0"/>
      </w:tblPr>
      <w:tblGrid>
        <w:gridCol w:w="10080"/>
      </w:tblGrid>
      <w:tr>
        <w:tc>
          <w:tcPr>
            <w:tcW w:type="dxa" w:w="10080"/>
            <w:shd w:fill="F0FDFA"/>
          </w:tcPr>
          <w:p>
            <w:pPr>
              <w:jc w:val="center"/>
            </w:pPr>
            <w:r/>
            <w:r>
              <w:rPr>
                <w:color w:val="0F766E"/>
                <w:sz w:val="20"/>
              </w:rPr>
              <w:t>Draft status: grant-ready structure with explicit placeholders. Final submission requires applicant verification, legal review, program-specific eligibility review, and replacement of all missing data.</w:t>
            </w:r>
          </w:p>
        </w:tc>
      </w:tr>
    </w:tbl>
    <w:p>
      <w:r>
        <w:br w:type="page"/>
      </w:r>
    </w:p>
    <w:p>
      <w:pPr>
        <w:pStyle w:val="Heading1"/>
      </w:pPr>
      <w:r>
        <w:t>1. Project Title</w:t>
      </w:r>
    </w:p>
    <w:p>
      <w:r>
        <w:rPr>
          <w:b w:val="0"/>
        </w:rPr>
        <w:t>EcoConnect Global: Transparent Carbon Credit Marketplace and Reporting Infrastructure Pilot</w:t>
      </w:r>
    </w:p>
    <w:p>
      <w:pPr>
        <w:pStyle w:val="Heading1"/>
      </w:pPr>
      <w:r>
        <w:t>2. Applicant and Eligibility</w:t>
      </w:r>
    </w:p>
    <w:p>
      <w:r>
        <w:rPr>
          <w:b w:val="0"/>
        </w:rPr>
        <w:t>Applicant: EcoConnect Global Ltd. Legal status, incorporation evidence, registration number, tax/VAT ID, bank account, beneficial ownership, and eligible applicant jurisdiction are currently missing and must be confirmed before submission. This narrative assumes the applicant is eligible to receive public funding under the selected grant program.</w:t>
      </w:r>
    </w:p>
    <w:p>
      <w:pPr>
        <w:pStyle w:val="Heading1"/>
      </w:pPr>
      <w:r>
        <w:t>3. Statement of Need</w:t>
      </w:r>
    </w:p>
    <w:p>
      <w:r>
        <w:rPr>
          <w:b w:val="0"/>
        </w:rPr>
        <w:t>Carbon markets are important tools for climate finance, but the voluntary carbon market has faced a trust and usability crisis. Buyers often cannot easily compare project documentation, integrity risks, price, retirement status, and claims implications. SMEs face a disproportionate burden because they lack internal carbon-market specialists and may not be able to pay for expensive consulting engagements. Project developers also need more transparent access to qualified buyers.</w:t>
      </w:r>
    </w:p>
    <w:p>
      <w:pPr>
        <w:pStyle w:val="Heading1"/>
      </w:pPr>
      <w:r>
        <w:t>4. Project Objectives</w:t>
      </w:r>
    </w:p>
    <w:p>
      <w:pPr>
        <w:pStyle w:val="ListBullet"/>
      </w:pPr>
      <w:r>
        <w:t>Develop a secure MVP that standardizes carbon project information and exposes key diligence signals.</w:t>
      </w:r>
    </w:p>
    <w:p>
      <w:pPr>
        <w:pStyle w:val="ListBullet"/>
      </w:pPr>
      <w:r>
        <w:t>Create an integrity-screening framework aligned with leading market principles and claims guidance.</w:t>
      </w:r>
    </w:p>
    <w:p>
      <w:pPr>
        <w:pStyle w:val="ListBullet"/>
      </w:pPr>
      <w:r>
        <w:t>Pilot the platform with 10-20 buyer organizations and 5-10 project developers.</w:t>
      </w:r>
    </w:p>
    <w:p>
      <w:pPr>
        <w:pStyle w:val="ListBullet"/>
      </w:pPr>
      <w:r>
        <w:t>Generate auditable buyer reports and public learning outputs that reduce information asymmetry.</w:t>
      </w:r>
    </w:p>
    <w:p>
      <w:pPr>
        <w:pStyle w:val="ListBullet"/>
      </w:pPr>
      <w:r>
        <w:t>Complete an independent evaluation and scale-readiness plan by Month 24.</w:t>
      </w:r>
    </w:p>
    <w:p>
      <w:pPr>
        <w:pStyle w:val="Heading1"/>
      </w:pPr>
      <w:r>
        <w:t>5. Project Design and Activities</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304"/>
            <w:vAlign w:val="top"/>
            <w:shd w:fill="0F766E"/>
          </w:tcPr>
          <w:p>
            <w:r/>
            <w:r>
              <w:rPr>
                <w:b/>
                <w:color w:val="FFFFFF"/>
                <w:sz w:val="15"/>
              </w:rPr>
              <w:t>Phase</w:t>
            </w:r>
          </w:p>
        </w:tc>
        <w:tc>
          <w:tcPr>
            <w:tcW w:type="dxa" w:w="1152"/>
            <w:vAlign w:val="top"/>
            <w:shd w:fill="0F766E"/>
          </w:tcPr>
          <w:p>
            <w:r/>
            <w:r>
              <w:rPr>
                <w:b/>
                <w:color w:val="FFFFFF"/>
                <w:sz w:val="15"/>
              </w:rPr>
              <w:t>Months</w:t>
            </w:r>
          </w:p>
        </w:tc>
        <w:tc>
          <w:tcPr>
            <w:tcW w:type="dxa" w:w="4464"/>
            <w:vAlign w:val="top"/>
            <w:shd w:fill="0F766E"/>
          </w:tcPr>
          <w:p>
            <w:r/>
            <w:r>
              <w:rPr>
                <w:b/>
                <w:color w:val="FFFFFF"/>
                <w:sz w:val="15"/>
              </w:rPr>
              <w:t>Major Activities</w:t>
            </w:r>
          </w:p>
        </w:tc>
        <w:tc>
          <w:tcPr>
            <w:tcW w:type="dxa" w:w="3456"/>
            <w:vAlign w:val="top"/>
            <w:shd w:fill="0F766E"/>
          </w:tcPr>
          <w:p>
            <w:r/>
            <w:r>
              <w:rPr>
                <w:b/>
                <w:color w:val="FFFFFF"/>
                <w:sz w:val="15"/>
              </w:rPr>
              <w:t>Key Deliverables</w:t>
            </w:r>
          </w:p>
        </w:tc>
      </w:tr>
      <w:tr>
        <w:tc>
          <w:tcPr>
            <w:tcW w:type="dxa" w:w="2304"/>
            <w:vAlign w:val="top"/>
          </w:tcPr>
          <w:p>
            <w:r/>
            <w:r>
              <w:rPr>
                <w:b w:val="0"/>
                <w:color w:val="0F172A"/>
                <w:sz w:val="15"/>
              </w:rPr>
              <w:t>1. Award mobilization and governance</w:t>
            </w:r>
          </w:p>
        </w:tc>
        <w:tc>
          <w:tcPr>
            <w:tcW w:type="dxa" w:w="1152"/>
            <w:vAlign w:val="top"/>
          </w:tcPr>
          <w:p>
            <w:r/>
            <w:r>
              <w:rPr>
                <w:b w:val="0"/>
                <w:color w:val="0F172A"/>
                <w:sz w:val="15"/>
              </w:rPr>
              <w:t>1-2</w:t>
            </w:r>
          </w:p>
        </w:tc>
        <w:tc>
          <w:tcPr>
            <w:tcW w:type="dxa" w:w="4464"/>
            <w:vAlign w:val="top"/>
          </w:tcPr>
          <w:p>
            <w:r/>
            <w:r>
              <w:rPr>
                <w:b w:val="0"/>
                <w:color w:val="0F172A"/>
                <w:sz w:val="15"/>
              </w:rPr>
              <w:t>Finalize grant agreement, appoint project manager, confirm controls, procurement plan, and reporting calendar.</w:t>
            </w:r>
          </w:p>
        </w:tc>
        <w:tc>
          <w:tcPr>
            <w:tcW w:type="dxa" w:w="3456"/>
            <w:vAlign w:val="top"/>
          </w:tcPr>
          <w:p>
            <w:r/>
            <w:r>
              <w:rPr>
                <w:b w:val="0"/>
                <w:color w:val="0F172A"/>
                <w:sz w:val="15"/>
              </w:rPr>
              <w:t>Kickoff pack, governance charter, procurement/compliance file, risk register.</w:t>
            </w:r>
          </w:p>
        </w:tc>
      </w:tr>
      <w:tr>
        <w:tc>
          <w:tcPr>
            <w:tcW w:type="dxa" w:w="2304"/>
            <w:vAlign w:val="top"/>
          </w:tcPr>
          <w:p>
            <w:r/>
            <w:r>
              <w:rPr>
                <w:b w:val="0"/>
                <w:color w:val="0F172A"/>
                <w:sz w:val="15"/>
              </w:rPr>
              <w:t>2. Technical discovery and architecture</w:t>
            </w:r>
          </w:p>
        </w:tc>
        <w:tc>
          <w:tcPr>
            <w:tcW w:type="dxa" w:w="1152"/>
            <w:vAlign w:val="top"/>
          </w:tcPr>
          <w:p>
            <w:r/>
            <w:r>
              <w:rPr>
                <w:b w:val="0"/>
                <w:color w:val="0F172A"/>
                <w:sz w:val="15"/>
              </w:rPr>
              <w:t>1-3</w:t>
            </w:r>
          </w:p>
        </w:tc>
        <w:tc>
          <w:tcPr>
            <w:tcW w:type="dxa" w:w="4464"/>
            <w:vAlign w:val="top"/>
          </w:tcPr>
          <w:p>
            <w:r/>
            <w:r>
              <w:rPr>
                <w:b w:val="0"/>
                <w:color w:val="0F172A"/>
                <w:sz w:val="15"/>
              </w:rPr>
              <w:t>Validate user requirements, map registries/data sources, define MVP scope, complete security architecture.</w:t>
            </w:r>
          </w:p>
        </w:tc>
        <w:tc>
          <w:tcPr>
            <w:tcW w:type="dxa" w:w="3456"/>
            <w:vAlign w:val="top"/>
          </w:tcPr>
          <w:p>
            <w:r/>
            <w:r>
              <w:rPr>
                <w:b w:val="0"/>
                <w:color w:val="0F172A"/>
                <w:sz w:val="15"/>
              </w:rPr>
              <w:t>Product requirements, architecture diagram, data map, DPIA scope.</w:t>
            </w:r>
          </w:p>
        </w:tc>
      </w:tr>
      <w:tr>
        <w:tc>
          <w:tcPr>
            <w:tcW w:type="dxa" w:w="2304"/>
            <w:vAlign w:val="top"/>
          </w:tcPr>
          <w:p>
            <w:r/>
            <w:r>
              <w:rPr>
                <w:b w:val="0"/>
                <w:color w:val="0F172A"/>
                <w:sz w:val="15"/>
              </w:rPr>
              <w:t>3. MVP and data pipeline build</w:t>
            </w:r>
          </w:p>
        </w:tc>
        <w:tc>
          <w:tcPr>
            <w:tcW w:type="dxa" w:w="1152"/>
            <w:vAlign w:val="top"/>
          </w:tcPr>
          <w:p>
            <w:r/>
            <w:r>
              <w:rPr>
                <w:b w:val="0"/>
                <w:color w:val="0F172A"/>
                <w:sz w:val="15"/>
              </w:rPr>
              <w:t>3-8</w:t>
            </w:r>
          </w:p>
        </w:tc>
        <w:tc>
          <w:tcPr>
            <w:tcW w:type="dxa" w:w="4464"/>
            <w:vAlign w:val="top"/>
          </w:tcPr>
          <w:p>
            <w:r/>
            <w:r>
              <w:rPr>
                <w:b w:val="0"/>
                <w:color w:val="0F172A"/>
                <w:sz w:val="15"/>
              </w:rPr>
              <w:t>Develop marketplace browser, registry ingestion, standardized project profiles, dashboards, and audit logs.</w:t>
            </w:r>
          </w:p>
        </w:tc>
        <w:tc>
          <w:tcPr>
            <w:tcW w:type="dxa" w:w="3456"/>
            <w:vAlign w:val="top"/>
          </w:tcPr>
          <w:p>
            <w:r/>
            <w:r>
              <w:rPr>
                <w:b w:val="0"/>
                <w:color w:val="0F172A"/>
                <w:sz w:val="15"/>
              </w:rPr>
              <w:t>MVP demo, data pipeline, initial project profiles, QA report.</w:t>
            </w:r>
          </w:p>
        </w:tc>
      </w:tr>
      <w:tr>
        <w:tc>
          <w:tcPr>
            <w:tcW w:type="dxa" w:w="2304"/>
            <w:vAlign w:val="top"/>
          </w:tcPr>
          <w:p>
            <w:r/>
            <w:r>
              <w:rPr>
                <w:b w:val="0"/>
                <w:color w:val="0F172A"/>
                <w:sz w:val="15"/>
              </w:rPr>
              <w:t>4. Integrity framework and compliance review</w:t>
            </w:r>
          </w:p>
        </w:tc>
        <w:tc>
          <w:tcPr>
            <w:tcW w:type="dxa" w:w="1152"/>
            <w:vAlign w:val="top"/>
          </w:tcPr>
          <w:p>
            <w:r/>
            <w:r>
              <w:rPr>
                <w:b w:val="0"/>
                <w:color w:val="0F172A"/>
                <w:sz w:val="15"/>
              </w:rPr>
              <w:t>4-10</w:t>
            </w:r>
          </w:p>
        </w:tc>
        <w:tc>
          <w:tcPr>
            <w:tcW w:type="dxa" w:w="4464"/>
            <w:vAlign w:val="top"/>
          </w:tcPr>
          <w:p>
            <w:r/>
            <w:r>
              <w:rPr>
                <w:b w:val="0"/>
                <w:color w:val="0F172A"/>
                <w:sz w:val="15"/>
              </w:rPr>
              <w:t>Develop credit quality criteria, claims policy, verification workflow, legal review, and cybersecurity controls.</w:t>
            </w:r>
          </w:p>
        </w:tc>
        <w:tc>
          <w:tcPr>
            <w:tcW w:type="dxa" w:w="3456"/>
            <w:vAlign w:val="top"/>
          </w:tcPr>
          <w:p>
            <w:r/>
            <w:r>
              <w:rPr>
                <w:b w:val="0"/>
                <w:color w:val="0F172A"/>
                <w:sz w:val="15"/>
              </w:rPr>
              <w:t>Integrity methodology, claims policy, legal memo, security test plan.</w:t>
            </w:r>
          </w:p>
        </w:tc>
      </w:tr>
      <w:tr>
        <w:tc>
          <w:tcPr>
            <w:tcW w:type="dxa" w:w="2304"/>
            <w:vAlign w:val="top"/>
          </w:tcPr>
          <w:p>
            <w:r/>
            <w:r>
              <w:rPr>
                <w:b w:val="0"/>
                <w:color w:val="0F172A"/>
                <w:sz w:val="15"/>
              </w:rPr>
              <w:t>5. Pilot onboarding</w:t>
            </w:r>
          </w:p>
        </w:tc>
        <w:tc>
          <w:tcPr>
            <w:tcW w:type="dxa" w:w="1152"/>
            <w:vAlign w:val="top"/>
          </w:tcPr>
          <w:p>
            <w:r/>
            <w:r>
              <w:rPr>
                <w:b w:val="0"/>
                <w:color w:val="0F172A"/>
                <w:sz w:val="15"/>
              </w:rPr>
              <w:t>7-14</w:t>
            </w:r>
          </w:p>
        </w:tc>
        <w:tc>
          <w:tcPr>
            <w:tcW w:type="dxa" w:w="4464"/>
            <w:vAlign w:val="top"/>
          </w:tcPr>
          <w:p>
            <w:r/>
            <w:r>
              <w:rPr>
                <w:b w:val="0"/>
                <w:color w:val="0F172A"/>
                <w:sz w:val="15"/>
              </w:rPr>
              <w:t>Recruit pilot buyers and project developers, run training, collect feedback, revise UX and reporting outputs.</w:t>
            </w:r>
          </w:p>
        </w:tc>
        <w:tc>
          <w:tcPr>
            <w:tcW w:type="dxa" w:w="3456"/>
            <w:vAlign w:val="top"/>
          </w:tcPr>
          <w:p>
            <w:r/>
            <w:r>
              <w:rPr>
                <w:b w:val="0"/>
                <w:color w:val="0F172A"/>
                <w:sz w:val="15"/>
              </w:rPr>
              <w:t>10-20 buyer LOIs/users, 5-10 project developer participants, training materials.</w:t>
            </w:r>
          </w:p>
        </w:tc>
      </w:tr>
      <w:tr>
        <w:tc>
          <w:tcPr>
            <w:tcW w:type="dxa" w:w="2304"/>
            <w:vAlign w:val="top"/>
          </w:tcPr>
          <w:p>
            <w:r/>
            <w:r>
              <w:rPr>
                <w:b w:val="0"/>
                <w:color w:val="0F172A"/>
                <w:sz w:val="15"/>
              </w:rPr>
              <w:t>6. Transaction and retirement tracking pilot</w:t>
            </w:r>
          </w:p>
        </w:tc>
        <w:tc>
          <w:tcPr>
            <w:tcW w:type="dxa" w:w="1152"/>
            <w:vAlign w:val="top"/>
          </w:tcPr>
          <w:p>
            <w:r/>
            <w:r>
              <w:rPr>
                <w:b w:val="0"/>
                <w:color w:val="0F172A"/>
                <w:sz w:val="15"/>
              </w:rPr>
              <w:t>12-20</w:t>
            </w:r>
          </w:p>
        </w:tc>
        <w:tc>
          <w:tcPr>
            <w:tcW w:type="dxa" w:w="4464"/>
            <w:vAlign w:val="top"/>
          </w:tcPr>
          <w:p>
            <w:r/>
            <w:r>
              <w:rPr>
                <w:b w:val="0"/>
                <w:color w:val="0F172A"/>
                <w:sz w:val="15"/>
              </w:rPr>
              <w:t>Test purchase/retirement tracking workflow, reporting, customer support, and public benefit metrics.</w:t>
            </w:r>
          </w:p>
        </w:tc>
        <w:tc>
          <w:tcPr>
            <w:tcW w:type="dxa" w:w="3456"/>
            <w:vAlign w:val="top"/>
          </w:tcPr>
          <w:p>
            <w:r/>
            <w:r>
              <w:rPr>
                <w:b w:val="0"/>
                <w:color w:val="0F172A"/>
                <w:sz w:val="15"/>
              </w:rPr>
              <w:t>Pilot transaction/retirement reports, user satisfaction data, issue log.</w:t>
            </w:r>
          </w:p>
        </w:tc>
      </w:tr>
      <w:tr>
        <w:tc>
          <w:tcPr>
            <w:tcW w:type="dxa" w:w="2304"/>
            <w:vAlign w:val="top"/>
          </w:tcPr>
          <w:p>
            <w:r/>
            <w:r>
              <w:rPr>
                <w:b w:val="0"/>
                <w:color w:val="0F172A"/>
                <w:sz w:val="15"/>
              </w:rPr>
              <w:t>7. Public beta and dissemination</w:t>
            </w:r>
          </w:p>
        </w:tc>
        <w:tc>
          <w:tcPr>
            <w:tcW w:type="dxa" w:w="1152"/>
            <w:vAlign w:val="top"/>
          </w:tcPr>
          <w:p>
            <w:r/>
            <w:r>
              <w:rPr>
                <w:b w:val="0"/>
                <w:color w:val="0F172A"/>
                <w:sz w:val="15"/>
              </w:rPr>
              <w:t>18-22</w:t>
            </w:r>
          </w:p>
        </w:tc>
        <w:tc>
          <w:tcPr>
            <w:tcW w:type="dxa" w:w="4464"/>
            <w:vAlign w:val="top"/>
          </w:tcPr>
          <w:p>
            <w:r/>
            <w:r>
              <w:rPr>
                <w:b w:val="0"/>
                <w:color w:val="0F172A"/>
                <w:sz w:val="15"/>
              </w:rPr>
              <w:t>Release beta features, publish public learning, hold workshops, prepare scale plan.</w:t>
            </w:r>
          </w:p>
        </w:tc>
        <w:tc>
          <w:tcPr>
            <w:tcW w:type="dxa" w:w="3456"/>
            <w:vAlign w:val="top"/>
          </w:tcPr>
          <w:p>
            <w:r/>
            <w:r>
              <w:rPr>
                <w:b w:val="0"/>
                <w:color w:val="0F172A"/>
                <w:sz w:val="15"/>
              </w:rPr>
              <w:t>Public beta, workshops, methodology note, dissemination report.</w:t>
            </w:r>
          </w:p>
        </w:tc>
      </w:tr>
      <w:tr>
        <w:tc>
          <w:tcPr>
            <w:tcW w:type="dxa" w:w="2304"/>
            <w:vAlign w:val="top"/>
          </w:tcPr>
          <w:p>
            <w:r/>
            <w:r>
              <w:rPr>
                <w:b w:val="0"/>
                <w:color w:val="0F172A"/>
                <w:sz w:val="15"/>
              </w:rPr>
              <w:t>8. Evaluation and sustainability planning</w:t>
            </w:r>
          </w:p>
        </w:tc>
        <w:tc>
          <w:tcPr>
            <w:tcW w:type="dxa" w:w="1152"/>
            <w:vAlign w:val="top"/>
          </w:tcPr>
          <w:p>
            <w:r/>
            <w:r>
              <w:rPr>
                <w:b w:val="0"/>
                <w:color w:val="0F172A"/>
                <w:sz w:val="15"/>
              </w:rPr>
              <w:t>21-24</w:t>
            </w:r>
          </w:p>
        </w:tc>
        <w:tc>
          <w:tcPr>
            <w:tcW w:type="dxa" w:w="4464"/>
            <w:vAlign w:val="top"/>
          </w:tcPr>
          <w:p>
            <w:r/>
            <w:r>
              <w:rPr>
                <w:b w:val="0"/>
                <w:color w:val="0F172A"/>
                <w:sz w:val="15"/>
              </w:rPr>
              <w:t>Independent evaluation, final reporting, financial sustainability plan, next-stage funding strategy.</w:t>
            </w:r>
          </w:p>
        </w:tc>
        <w:tc>
          <w:tcPr>
            <w:tcW w:type="dxa" w:w="3456"/>
            <w:vAlign w:val="top"/>
          </w:tcPr>
          <w:p>
            <w:r/>
            <w:r>
              <w:rPr>
                <w:b w:val="0"/>
                <w:color w:val="0F172A"/>
                <w:sz w:val="15"/>
              </w:rPr>
              <w:t>Final evaluation, final grant report, commercialization/scale plan.</w:t>
            </w:r>
          </w:p>
        </w:tc>
      </w:tr>
    </w:tbl>
    <w:p>
      <w:pPr>
        <w:pStyle w:val="Heading1"/>
      </w:pPr>
      <w:r>
        <w:t>6. Innovation and Public Benefit</w:t>
      </w:r>
    </w:p>
    <w:p>
      <w:r>
        <w:rPr>
          <w:b w:val="0"/>
        </w:rPr>
        <w:t>The project combines marketplace usability, standardized registry data, documentation workflows, and reporting tools. The innovation is not a speculative claim that technology alone solves carbon market integrity. The innovation is a structured, auditable workflow that helps non-specialist buyers compare evidence, understand risks, and make more credible purchasing and reporting decisions. Public benefit will be delivered through SME access, transparency outputs, education, and independent evaluation.</w:t>
      </w:r>
    </w:p>
    <w:p>
      <w:pPr>
        <w:pStyle w:val="Heading1"/>
      </w:pPr>
      <w:r>
        <w:t>7. Target Beneficiaries</w:t>
      </w:r>
    </w:p>
    <w:p>
      <w:pPr>
        <w:pStyle w:val="ListBullet"/>
      </w:pPr>
      <w:r>
        <w:t>SMEs and tech-forward companies seeking credible, auditable carbon credit purchasing workflows.</w:t>
      </w:r>
    </w:p>
    <w:p>
      <w:pPr>
        <w:pStyle w:val="ListBullet"/>
      </w:pPr>
      <w:r>
        <w:t>Sustainability project developers that need a transparent channel to qualified buyers.</w:t>
      </w:r>
    </w:p>
    <w:p>
      <w:pPr>
        <w:pStyle w:val="ListBullet"/>
      </w:pPr>
      <w:r>
        <w:t>Public bodies and NGOs interested in market transparency and integrity learning.</w:t>
      </w:r>
    </w:p>
    <w:p>
      <w:pPr>
        <w:pStyle w:val="ListBullet"/>
      </w:pPr>
      <w:r>
        <w:t>Employees and contractors engaged in climate-tech, data engineering, compliance, and impact evaluation roles.</w:t>
      </w:r>
    </w:p>
    <w:p>
      <w:pPr>
        <w:pStyle w:val="Heading1"/>
      </w:pPr>
      <w:r>
        <w:t>8. Expected Outputs and Outcomes</w:t>
      </w:r>
    </w:p>
    <w:tbl>
      <w:tblPr>
        <w:tblStyle w:val="TableGrid"/>
        <w:tblW w:type="auto" w:w="0"/>
        <w:jc w:val="center"/>
        <w:tblLook w:firstColumn="1" w:firstRow="1" w:lastColumn="0" w:lastRow="0" w:noHBand="0" w:noVBand="1" w:val="04A0"/>
      </w:tblPr>
      <w:tblGrid>
        <w:gridCol w:w="1440"/>
        <w:gridCol w:w="1440"/>
        <w:gridCol w:w="1440"/>
        <w:gridCol w:w="1440"/>
        <w:gridCol w:w="1440"/>
        <w:gridCol w:w="1440"/>
        <w:gridCol w:w="1440"/>
      </w:tblGrid>
      <w:tr>
        <w:tc>
          <w:tcPr>
            <w:tcW w:type="dxa" w:w="1872"/>
            <w:vAlign w:val="top"/>
            <w:shd w:fill="0F766E"/>
          </w:tcPr>
          <w:p>
            <w:r/>
            <w:r>
              <w:rPr>
                <w:b/>
                <w:color w:val="FFFFFF"/>
                <w:sz w:val="14"/>
              </w:rPr>
              <w:t>Objective</w:t>
            </w:r>
          </w:p>
        </w:tc>
        <w:tc>
          <w:tcPr>
            <w:tcW w:type="dxa" w:w="2448"/>
            <w:vAlign w:val="top"/>
            <w:shd w:fill="0F766E"/>
          </w:tcPr>
          <w:p>
            <w:r/>
            <w:r>
              <w:rPr>
                <w:b/>
                <w:color w:val="FFFFFF"/>
                <w:sz w:val="14"/>
              </w:rPr>
              <w:t>Indicator</w:t>
            </w:r>
          </w:p>
        </w:tc>
        <w:tc>
          <w:tcPr>
            <w:tcW w:type="dxa" w:w="1152"/>
            <w:vAlign w:val="top"/>
            <w:shd w:fill="0F766E"/>
          </w:tcPr>
          <w:p>
            <w:r/>
            <w:r>
              <w:rPr>
                <w:b/>
                <w:color w:val="FFFFFF"/>
                <w:sz w:val="14"/>
              </w:rPr>
              <w:t>Baseline</w:t>
            </w:r>
          </w:p>
        </w:tc>
        <w:tc>
          <w:tcPr>
            <w:tcW w:type="dxa" w:w="1296"/>
            <w:vAlign w:val="top"/>
            <w:shd w:fill="0F766E"/>
          </w:tcPr>
          <w:p>
            <w:r/>
            <w:r>
              <w:rPr>
                <w:b/>
                <w:color w:val="FFFFFF"/>
                <w:sz w:val="14"/>
              </w:rPr>
              <w:t>Year 1 Target</w:t>
            </w:r>
          </w:p>
        </w:tc>
        <w:tc>
          <w:tcPr>
            <w:tcW w:type="dxa" w:w="1296"/>
            <w:vAlign w:val="top"/>
            <w:shd w:fill="0F766E"/>
          </w:tcPr>
          <w:p>
            <w:r/>
            <w:r>
              <w:rPr>
                <w:b/>
                <w:color w:val="FFFFFF"/>
                <w:sz w:val="14"/>
              </w:rPr>
              <w:t>Year 2 Target</w:t>
            </w:r>
          </w:p>
        </w:tc>
        <w:tc>
          <w:tcPr>
            <w:tcW w:type="dxa" w:w="1728"/>
            <w:vAlign w:val="top"/>
            <w:shd w:fill="0F766E"/>
          </w:tcPr>
          <w:p>
            <w:r/>
            <w:r>
              <w:rPr>
                <w:b/>
                <w:color w:val="FFFFFF"/>
                <w:sz w:val="14"/>
              </w:rPr>
              <w:t>Data Source</w:t>
            </w:r>
          </w:p>
        </w:tc>
        <w:tc>
          <w:tcPr>
            <w:tcW w:type="dxa" w:w="1152"/>
            <w:vAlign w:val="top"/>
            <w:shd w:fill="0F766E"/>
          </w:tcPr>
          <w:p>
            <w:r/>
            <w:r>
              <w:rPr>
                <w:b/>
                <w:color w:val="FFFFFF"/>
                <w:sz w:val="14"/>
              </w:rPr>
              <w:t>Frequency</w:t>
            </w:r>
          </w:p>
        </w:tc>
      </w:tr>
      <w:tr>
        <w:tc>
          <w:tcPr>
            <w:tcW w:type="dxa" w:w="1872"/>
            <w:vAlign w:val="top"/>
          </w:tcPr>
          <w:p>
            <w:r/>
            <w:r>
              <w:rPr>
                <w:b w:val="0"/>
                <w:color w:val="0F172A"/>
                <w:sz w:val="14"/>
              </w:rPr>
              <w:t>Increase transparency of carbon credit information</w:t>
            </w:r>
          </w:p>
        </w:tc>
        <w:tc>
          <w:tcPr>
            <w:tcW w:type="dxa" w:w="2448"/>
            <w:vAlign w:val="top"/>
          </w:tcPr>
          <w:p>
            <w:r/>
            <w:r>
              <w:rPr>
                <w:b w:val="0"/>
                <w:color w:val="0F172A"/>
                <w:sz w:val="14"/>
              </w:rPr>
              <w:t>Standardized project profiles published in platform</w:t>
            </w:r>
          </w:p>
        </w:tc>
        <w:tc>
          <w:tcPr>
            <w:tcW w:type="dxa" w:w="1152"/>
            <w:vAlign w:val="top"/>
          </w:tcPr>
          <w:p>
            <w:r/>
            <w:r>
              <w:rPr>
                <w:b w:val="0"/>
                <w:color w:val="0F172A"/>
                <w:sz w:val="14"/>
              </w:rPr>
              <w:t>0</w:t>
            </w:r>
          </w:p>
        </w:tc>
        <w:tc>
          <w:tcPr>
            <w:tcW w:type="dxa" w:w="1296"/>
            <w:vAlign w:val="top"/>
          </w:tcPr>
          <w:p>
            <w:r/>
            <w:r>
              <w:rPr>
                <w:b w:val="0"/>
                <w:color w:val="0F172A"/>
                <w:sz w:val="14"/>
              </w:rPr>
              <w:t>50</w:t>
            </w:r>
          </w:p>
        </w:tc>
        <w:tc>
          <w:tcPr>
            <w:tcW w:type="dxa" w:w="1296"/>
            <w:vAlign w:val="top"/>
          </w:tcPr>
          <w:p>
            <w:r/>
            <w:r>
              <w:rPr>
                <w:b w:val="0"/>
                <w:color w:val="0F172A"/>
                <w:sz w:val="14"/>
              </w:rPr>
              <w:t>150</w:t>
            </w:r>
          </w:p>
        </w:tc>
        <w:tc>
          <w:tcPr>
            <w:tcW w:type="dxa" w:w="1728"/>
            <w:vAlign w:val="top"/>
          </w:tcPr>
          <w:p>
            <w:r/>
            <w:r>
              <w:rPr>
                <w:b w:val="0"/>
                <w:color w:val="0F172A"/>
                <w:sz w:val="14"/>
              </w:rPr>
              <w:t>Platform records and data QA logs</w:t>
            </w:r>
          </w:p>
        </w:tc>
        <w:tc>
          <w:tcPr>
            <w:tcW w:type="dxa" w:w="1152"/>
            <w:vAlign w:val="top"/>
          </w:tcPr>
          <w:p>
            <w:r/>
            <w:r>
              <w:rPr>
                <w:b w:val="0"/>
                <w:color w:val="0F172A"/>
                <w:sz w:val="14"/>
              </w:rPr>
              <w:t>Monthly</w:t>
            </w:r>
          </w:p>
        </w:tc>
      </w:tr>
      <w:tr>
        <w:tc>
          <w:tcPr>
            <w:tcW w:type="dxa" w:w="1872"/>
            <w:vAlign w:val="top"/>
          </w:tcPr>
          <w:p>
            <w:r/>
            <w:r>
              <w:rPr>
                <w:b w:val="0"/>
                <w:color w:val="0F172A"/>
                <w:sz w:val="14"/>
              </w:rPr>
              <w:t>Improve SME access to credible credits</w:t>
            </w:r>
          </w:p>
        </w:tc>
        <w:tc>
          <w:tcPr>
            <w:tcW w:type="dxa" w:w="2448"/>
            <w:vAlign w:val="top"/>
          </w:tcPr>
          <w:p>
            <w:r/>
            <w:r>
              <w:rPr>
                <w:b w:val="0"/>
                <w:color w:val="0F172A"/>
                <w:sz w:val="14"/>
              </w:rPr>
              <w:t>Pilot buyers onboarded</w:t>
            </w:r>
          </w:p>
        </w:tc>
        <w:tc>
          <w:tcPr>
            <w:tcW w:type="dxa" w:w="1152"/>
            <w:vAlign w:val="top"/>
          </w:tcPr>
          <w:p>
            <w:r/>
            <w:r>
              <w:rPr>
                <w:b w:val="0"/>
                <w:color w:val="0F172A"/>
                <w:sz w:val="14"/>
              </w:rPr>
              <w:t>0</w:t>
            </w:r>
          </w:p>
        </w:tc>
        <w:tc>
          <w:tcPr>
            <w:tcW w:type="dxa" w:w="1296"/>
            <w:vAlign w:val="top"/>
          </w:tcPr>
          <w:p>
            <w:r/>
            <w:r>
              <w:rPr>
                <w:b w:val="0"/>
                <w:color w:val="0F172A"/>
                <w:sz w:val="14"/>
              </w:rPr>
              <w:t>5-8</w:t>
            </w:r>
          </w:p>
        </w:tc>
        <w:tc>
          <w:tcPr>
            <w:tcW w:type="dxa" w:w="1296"/>
            <w:vAlign w:val="top"/>
          </w:tcPr>
          <w:p>
            <w:r/>
            <w:r>
              <w:rPr>
                <w:b w:val="0"/>
                <w:color w:val="0F172A"/>
                <w:sz w:val="14"/>
              </w:rPr>
              <w:t>10-20</w:t>
            </w:r>
          </w:p>
        </w:tc>
        <w:tc>
          <w:tcPr>
            <w:tcW w:type="dxa" w:w="1728"/>
            <w:vAlign w:val="top"/>
          </w:tcPr>
          <w:p>
            <w:r/>
            <w:r>
              <w:rPr>
                <w:b w:val="0"/>
                <w:color w:val="0F172A"/>
                <w:sz w:val="14"/>
              </w:rPr>
              <w:t>Signed pilot agreements, CRM</w:t>
            </w:r>
          </w:p>
        </w:tc>
        <w:tc>
          <w:tcPr>
            <w:tcW w:type="dxa" w:w="1152"/>
            <w:vAlign w:val="top"/>
          </w:tcPr>
          <w:p>
            <w:r/>
            <w:r>
              <w:rPr>
                <w:b w:val="0"/>
                <w:color w:val="0F172A"/>
                <w:sz w:val="14"/>
              </w:rPr>
              <w:t>Monthly</w:t>
            </w:r>
          </w:p>
        </w:tc>
      </w:tr>
      <w:tr>
        <w:tc>
          <w:tcPr>
            <w:tcW w:type="dxa" w:w="1872"/>
            <w:vAlign w:val="top"/>
          </w:tcPr>
          <w:p>
            <w:r/>
            <w:r>
              <w:rPr>
                <w:b w:val="0"/>
                <w:color w:val="0F172A"/>
                <w:sz w:val="14"/>
              </w:rPr>
              <w:t>Support project developer access to buyers</w:t>
            </w:r>
          </w:p>
        </w:tc>
        <w:tc>
          <w:tcPr>
            <w:tcW w:type="dxa" w:w="2448"/>
            <w:vAlign w:val="top"/>
          </w:tcPr>
          <w:p>
            <w:r/>
            <w:r>
              <w:rPr>
                <w:b w:val="0"/>
                <w:color w:val="0F172A"/>
                <w:sz w:val="14"/>
              </w:rPr>
              <w:t>Project developers onboarded</w:t>
            </w:r>
          </w:p>
        </w:tc>
        <w:tc>
          <w:tcPr>
            <w:tcW w:type="dxa" w:w="1152"/>
            <w:vAlign w:val="top"/>
          </w:tcPr>
          <w:p>
            <w:r/>
            <w:r>
              <w:rPr>
                <w:b w:val="0"/>
                <w:color w:val="0F172A"/>
                <w:sz w:val="14"/>
              </w:rPr>
              <w:t>0</w:t>
            </w:r>
          </w:p>
        </w:tc>
        <w:tc>
          <w:tcPr>
            <w:tcW w:type="dxa" w:w="1296"/>
            <w:vAlign w:val="top"/>
          </w:tcPr>
          <w:p>
            <w:r/>
            <w:r>
              <w:rPr>
                <w:b w:val="0"/>
                <w:color w:val="0F172A"/>
                <w:sz w:val="14"/>
              </w:rPr>
              <w:t>3-5</w:t>
            </w:r>
          </w:p>
        </w:tc>
        <w:tc>
          <w:tcPr>
            <w:tcW w:type="dxa" w:w="1296"/>
            <w:vAlign w:val="top"/>
          </w:tcPr>
          <w:p>
            <w:r/>
            <w:r>
              <w:rPr>
                <w:b w:val="0"/>
                <w:color w:val="0F172A"/>
                <w:sz w:val="14"/>
              </w:rPr>
              <w:t>5-10</w:t>
            </w:r>
          </w:p>
        </w:tc>
        <w:tc>
          <w:tcPr>
            <w:tcW w:type="dxa" w:w="1728"/>
            <w:vAlign w:val="top"/>
          </w:tcPr>
          <w:p>
            <w:r/>
            <w:r>
              <w:rPr>
                <w:b w:val="0"/>
                <w:color w:val="0F172A"/>
                <w:sz w:val="14"/>
              </w:rPr>
              <w:t>Onboarding records</w:t>
            </w:r>
          </w:p>
        </w:tc>
        <w:tc>
          <w:tcPr>
            <w:tcW w:type="dxa" w:w="1152"/>
            <w:vAlign w:val="top"/>
          </w:tcPr>
          <w:p>
            <w:r/>
            <w:r>
              <w:rPr>
                <w:b w:val="0"/>
                <w:color w:val="0F172A"/>
                <w:sz w:val="14"/>
              </w:rPr>
              <w:t>Quarterly</w:t>
            </w:r>
          </w:p>
        </w:tc>
      </w:tr>
      <w:tr>
        <w:tc>
          <w:tcPr>
            <w:tcW w:type="dxa" w:w="1872"/>
            <w:vAlign w:val="top"/>
          </w:tcPr>
          <w:p>
            <w:r/>
            <w:r>
              <w:rPr>
                <w:b w:val="0"/>
                <w:color w:val="0F172A"/>
                <w:sz w:val="14"/>
              </w:rPr>
              <w:t>Strengthen credit integrity screening</w:t>
            </w:r>
          </w:p>
        </w:tc>
        <w:tc>
          <w:tcPr>
            <w:tcW w:type="dxa" w:w="2448"/>
            <w:vAlign w:val="top"/>
          </w:tcPr>
          <w:p>
            <w:r/>
            <w:r>
              <w:rPr>
                <w:b w:val="0"/>
                <w:color w:val="0F172A"/>
                <w:sz w:val="14"/>
              </w:rPr>
              <w:t>Credits/projects screened using documented criteria</w:t>
            </w:r>
          </w:p>
        </w:tc>
        <w:tc>
          <w:tcPr>
            <w:tcW w:type="dxa" w:w="1152"/>
            <w:vAlign w:val="top"/>
          </w:tcPr>
          <w:p>
            <w:r/>
            <w:r>
              <w:rPr>
                <w:b w:val="0"/>
                <w:color w:val="0F172A"/>
                <w:sz w:val="14"/>
              </w:rPr>
              <w:t>0</w:t>
            </w:r>
          </w:p>
        </w:tc>
        <w:tc>
          <w:tcPr>
            <w:tcW w:type="dxa" w:w="1296"/>
            <w:vAlign w:val="top"/>
          </w:tcPr>
          <w:p>
            <w:r/>
            <w:r>
              <w:rPr>
                <w:b w:val="0"/>
                <w:color w:val="0F172A"/>
                <w:sz w:val="14"/>
              </w:rPr>
              <w:t>50 projects</w:t>
            </w:r>
          </w:p>
        </w:tc>
        <w:tc>
          <w:tcPr>
            <w:tcW w:type="dxa" w:w="1296"/>
            <w:vAlign w:val="top"/>
          </w:tcPr>
          <w:p>
            <w:r/>
            <w:r>
              <w:rPr>
                <w:b w:val="0"/>
                <w:color w:val="0F172A"/>
                <w:sz w:val="14"/>
              </w:rPr>
              <w:t>150 projects</w:t>
            </w:r>
          </w:p>
        </w:tc>
        <w:tc>
          <w:tcPr>
            <w:tcW w:type="dxa" w:w="1728"/>
            <w:vAlign w:val="top"/>
          </w:tcPr>
          <w:p>
            <w:r/>
            <w:r>
              <w:rPr>
                <w:b w:val="0"/>
                <w:color w:val="0F172A"/>
                <w:sz w:val="14"/>
              </w:rPr>
              <w:t>Scoring logs and methodology review</w:t>
            </w:r>
          </w:p>
        </w:tc>
        <w:tc>
          <w:tcPr>
            <w:tcW w:type="dxa" w:w="1152"/>
            <w:vAlign w:val="top"/>
          </w:tcPr>
          <w:p>
            <w:r/>
            <w:r>
              <w:rPr>
                <w:b w:val="0"/>
                <w:color w:val="0F172A"/>
                <w:sz w:val="14"/>
              </w:rPr>
              <w:t>Monthly</w:t>
            </w:r>
          </w:p>
        </w:tc>
      </w:tr>
      <w:tr>
        <w:tc>
          <w:tcPr>
            <w:tcW w:type="dxa" w:w="1872"/>
            <w:vAlign w:val="top"/>
          </w:tcPr>
          <w:p>
            <w:r/>
            <w:r>
              <w:rPr>
                <w:b w:val="0"/>
                <w:color w:val="0F172A"/>
                <w:sz w:val="14"/>
              </w:rPr>
              <w:t>Enable auditable reporting</w:t>
            </w:r>
          </w:p>
        </w:tc>
        <w:tc>
          <w:tcPr>
            <w:tcW w:type="dxa" w:w="2448"/>
            <w:vAlign w:val="top"/>
          </w:tcPr>
          <w:p>
            <w:r/>
            <w:r>
              <w:rPr>
                <w:b w:val="0"/>
                <w:color w:val="0F172A"/>
                <w:sz w:val="14"/>
              </w:rPr>
              <w:t>Buyer reports generated with audit trail</w:t>
            </w:r>
          </w:p>
        </w:tc>
        <w:tc>
          <w:tcPr>
            <w:tcW w:type="dxa" w:w="1152"/>
            <w:vAlign w:val="top"/>
          </w:tcPr>
          <w:p>
            <w:r/>
            <w:r>
              <w:rPr>
                <w:b w:val="0"/>
                <w:color w:val="0F172A"/>
                <w:sz w:val="14"/>
              </w:rPr>
              <w:t>0</w:t>
            </w:r>
          </w:p>
        </w:tc>
        <w:tc>
          <w:tcPr>
            <w:tcW w:type="dxa" w:w="1296"/>
            <w:vAlign w:val="top"/>
          </w:tcPr>
          <w:p>
            <w:r/>
            <w:r>
              <w:rPr>
                <w:b w:val="0"/>
                <w:color w:val="0F172A"/>
                <w:sz w:val="14"/>
              </w:rPr>
              <w:t>10</w:t>
            </w:r>
          </w:p>
        </w:tc>
        <w:tc>
          <w:tcPr>
            <w:tcW w:type="dxa" w:w="1296"/>
            <w:vAlign w:val="top"/>
          </w:tcPr>
          <w:p>
            <w:r/>
            <w:r>
              <w:rPr>
                <w:b w:val="0"/>
                <w:color w:val="0F172A"/>
                <w:sz w:val="14"/>
              </w:rPr>
              <w:t>50</w:t>
            </w:r>
          </w:p>
        </w:tc>
        <w:tc>
          <w:tcPr>
            <w:tcW w:type="dxa" w:w="1728"/>
            <w:vAlign w:val="top"/>
          </w:tcPr>
          <w:p>
            <w:r/>
            <w:r>
              <w:rPr>
                <w:b w:val="0"/>
                <w:color w:val="0F172A"/>
                <w:sz w:val="14"/>
              </w:rPr>
              <w:t>Platform logs and report samples</w:t>
            </w:r>
          </w:p>
        </w:tc>
        <w:tc>
          <w:tcPr>
            <w:tcW w:type="dxa" w:w="1152"/>
            <w:vAlign w:val="top"/>
          </w:tcPr>
          <w:p>
            <w:r/>
            <w:r>
              <w:rPr>
                <w:b w:val="0"/>
                <w:color w:val="0F172A"/>
                <w:sz w:val="14"/>
              </w:rPr>
              <w:t>Quarterly</w:t>
            </w:r>
          </w:p>
        </w:tc>
      </w:tr>
      <w:tr>
        <w:tc>
          <w:tcPr>
            <w:tcW w:type="dxa" w:w="1872"/>
            <w:vAlign w:val="top"/>
          </w:tcPr>
          <w:p>
            <w:r/>
            <w:r>
              <w:rPr>
                <w:b w:val="0"/>
                <w:color w:val="0F172A"/>
                <w:sz w:val="14"/>
              </w:rPr>
              <w:t>Build public learning</w:t>
            </w:r>
          </w:p>
        </w:tc>
        <w:tc>
          <w:tcPr>
            <w:tcW w:type="dxa" w:w="2448"/>
            <w:vAlign w:val="top"/>
          </w:tcPr>
          <w:p>
            <w:r/>
            <w:r>
              <w:rPr>
                <w:b w:val="0"/>
                <w:color w:val="0F172A"/>
                <w:sz w:val="14"/>
              </w:rPr>
              <w:t>Workshops/webinars delivered</w:t>
            </w:r>
          </w:p>
        </w:tc>
        <w:tc>
          <w:tcPr>
            <w:tcW w:type="dxa" w:w="1152"/>
            <w:vAlign w:val="top"/>
          </w:tcPr>
          <w:p>
            <w:r/>
            <w:r>
              <w:rPr>
                <w:b w:val="0"/>
                <w:color w:val="0F172A"/>
                <w:sz w:val="14"/>
              </w:rPr>
              <w:t>0</w:t>
            </w:r>
          </w:p>
        </w:tc>
        <w:tc>
          <w:tcPr>
            <w:tcW w:type="dxa" w:w="1296"/>
            <w:vAlign w:val="top"/>
          </w:tcPr>
          <w:p>
            <w:r/>
            <w:r>
              <w:rPr>
                <w:b w:val="0"/>
                <w:color w:val="0F172A"/>
                <w:sz w:val="14"/>
              </w:rPr>
              <w:t>3</w:t>
            </w:r>
          </w:p>
        </w:tc>
        <w:tc>
          <w:tcPr>
            <w:tcW w:type="dxa" w:w="1296"/>
            <w:vAlign w:val="top"/>
          </w:tcPr>
          <w:p>
            <w:r/>
            <w:r>
              <w:rPr>
                <w:b w:val="0"/>
                <w:color w:val="0F172A"/>
                <w:sz w:val="14"/>
              </w:rPr>
              <w:t>8</w:t>
            </w:r>
          </w:p>
        </w:tc>
        <w:tc>
          <w:tcPr>
            <w:tcW w:type="dxa" w:w="1728"/>
            <w:vAlign w:val="top"/>
          </w:tcPr>
          <w:p>
            <w:r/>
            <w:r>
              <w:rPr>
                <w:b w:val="0"/>
                <w:color w:val="0F172A"/>
                <w:sz w:val="14"/>
              </w:rPr>
              <w:t>Event records, attendance logs</w:t>
            </w:r>
          </w:p>
        </w:tc>
        <w:tc>
          <w:tcPr>
            <w:tcW w:type="dxa" w:w="1152"/>
            <w:vAlign w:val="top"/>
          </w:tcPr>
          <w:p>
            <w:r/>
            <w:r>
              <w:rPr>
                <w:b w:val="0"/>
                <w:color w:val="0F172A"/>
                <w:sz w:val="14"/>
              </w:rPr>
              <w:t>Quarterly</w:t>
            </w:r>
          </w:p>
        </w:tc>
      </w:tr>
      <w:tr>
        <w:tc>
          <w:tcPr>
            <w:tcW w:type="dxa" w:w="1872"/>
            <w:vAlign w:val="top"/>
          </w:tcPr>
          <w:p>
            <w:r/>
            <w:r>
              <w:rPr>
                <w:b w:val="0"/>
                <w:color w:val="0F172A"/>
                <w:sz w:val="14"/>
              </w:rPr>
              <w:t>Measure adoption and user value</w:t>
            </w:r>
          </w:p>
        </w:tc>
        <w:tc>
          <w:tcPr>
            <w:tcW w:type="dxa" w:w="2448"/>
            <w:vAlign w:val="top"/>
          </w:tcPr>
          <w:p>
            <w:r/>
            <w:r>
              <w:rPr>
                <w:b w:val="0"/>
                <w:color w:val="0F172A"/>
                <w:sz w:val="14"/>
              </w:rPr>
              <w:t>Average pilot user satisfaction score</w:t>
            </w:r>
          </w:p>
        </w:tc>
        <w:tc>
          <w:tcPr>
            <w:tcW w:type="dxa" w:w="1152"/>
            <w:vAlign w:val="top"/>
          </w:tcPr>
          <w:p>
            <w:r/>
            <w:r>
              <w:rPr>
                <w:b w:val="0"/>
                <w:color w:val="0F172A"/>
                <w:sz w:val="14"/>
              </w:rPr>
              <w:t>No baseline</w:t>
            </w:r>
          </w:p>
        </w:tc>
        <w:tc>
          <w:tcPr>
            <w:tcW w:type="dxa" w:w="1296"/>
            <w:vAlign w:val="top"/>
          </w:tcPr>
          <w:p>
            <w:r/>
            <w:r>
              <w:rPr>
                <w:b w:val="0"/>
                <w:color w:val="0F172A"/>
                <w:sz w:val="14"/>
              </w:rPr>
              <w:t>&gt;= 75%</w:t>
            </w:r>
          </w:p>
        </w:tc>
        <w:tc>
          <w:tcPr>
            <w:tcW w:type="dxa" w:w="1296"/>
            <w:vAlign w:val="top"/>
          </w:tcPr>
          <w:p>
            <w:r/>
            <w:r>
              <w:rPr>
                <w:b w:val="0"/>
                <w:color w:val="0F172A"/>
                <w:sz w:val="14"/>
              </w:rPr>
              <w:t>&gt;= 80%</w:t>
            </w:r>
          </w:p>
        </w:tc>
        <w:tc>
          <w:tcPr>
            <w:tcW w:type="dxa" w:w="1728"/>
            <w:vAlign w:val="top"/>
          </w:tcPr>
          <w:p>
            <w:r/>
            <w:r>
              <w:rPr>
                <w:b w:val="0"/>
                <w:color w:val="0F172A"/>
                <w:sz w:val="14"/>
              </w:rPr>
              <w:t>User surveys</w:t>
            </w:r>
          </w:p>
        </w:tc>
        <w:tc>
          <w:tcPr>
            <w:tcW w:type="dxa" w:w="1152"/>
            <w:vAlign w:val="top"/>
          </w:tcPr>
          <w:p>
            <w:r/>
            <w:r>
              <w:rPr>
                <w:b w:val="0"/>
                <w:color w:val="0F172A"/>
                <w:sz w:val="14"/>
              </w:rPr>
              <w:t>Quarterly</w:t>
            </w:r>
          </w:p>
        </w:tc>
      </w:tr>
      <w:tr>
        <w:tc>
          <w:tcPr>
            <w:tcW w:type="dxa" w:w="1872"/>
            <w:vAlign w:val="top"/>
          </w:tcPr>
          <w:p>
            <w:r/>
            <w:r>
              <w:rPr>
                <w:b w:val="0"/>
                <w:color w:val="0F172A"/>
                <w:sz w:val="14"/>
              </w:rPr>
              <w:t>Protect data and security</w:t>
            </w:r>
          </w:p>
        </w:tc>
        <w:tc>
          <w:tcPr>
            <w:tcW w:type="dxa" w:w="2448"/>
            <w:vAlign w:val="top"/>
          </w:tcPr>
          <w:p>
            <w:r/>
            <w:r>
              <w:rPr>
                <w:b w:val="0"/>
                <w:color w:val="0F172A"/>
                <w:sz w:val="14"/>
              </w:rPr>
              <w:t>Critical security incidents</w:t>
            </w:r>
          </w:p>
        </w:tc>
        <w:tc>
          <w:tcPr>
            <w:tcW w:type="dxa" w:w="1152"/>
            <w:vAlign w:val="top"/>
          </w:tcPr>
          <w:p>
            <w:r/>
            <w:r>
              <w:rPr>
                <w:b w:val="0"/>
                <w:color w:val="0F172A"/>
                <w:sz w:val="14"/>
              </w:rPr>
              <w:t>0</w:t>
            </w:r>
          </w:p>
        </w:tc>
        <w:tc>
          <w:tcPr>
            <w:tcW w:type="dxa" w:w="1296"/>
            <w:vAlign w:val="top"/>
          </w:tcPr>
          <w:p>
            <w:r/>
            <w:r>
              <w:rPr>
                <w:b w:val="0"/>
                <w:color w:val="0F172A"/>
                <w:sz w:val="14"/>
              </w:rPr>
              <w:t>0</w:t>
            </w:r>
          </w:p>
        </w:tc>
        <w:tc>
          <w:tcPr>
            <w:tcW w:type="dxa" w:w="1296"/>
            <w:vAlign w:val="top"/>
          </w:tcPr>
          <w:p>
            <w:r/>
            <w:r>
              <w:rPr>
                <w:b w:val="0"/>
                <w:color w:val="0F172A"/>
                <w:sz w:val="14"/>
              </w:rPr>
              <w:t>0</w:t>
            </w:r>
          </w:p>
        </w:tc>
        <w:tc>
          <w:tcPr>
            <w:tcW w:type="dxa" w:w="1728"/>
            <w:vAlign w:val="top"/>
          </w:tcPr>
          <w:p>
            <w:r/>
            <w:r>
              <w:rPr>
                <w:b w:val="0"/>
                <w:color w:val="0F172A"/>
                <w:sz w:val="14"/>
              </w:rPr>
              <w:t>Incident log</w:t>
            </w:r>
          </w:p>
        </w:tc>
        <w:tc>
          <w:tcPr>
            <w:tcW w:type="dxa" w:w="1152"/>
            <w:vAlign w:val="top"/>
          </w:tcPr>
          <w:p>
            <w:r/>
            <w:r>
              <w:rPr>
                <w:b w:val="0"/>
                <w:color w:val="0F172A"/>
                <w:sz w:val="14"/>
              </w:rPr>
              <w:t>Monthly</w:t>
            </w:r>
          </w:p>
        </w:tc>
      </w:tr>
      <w:tr>
        <w:tc>
          <w:tcPr>
            <w:tcW w:type="dxa" w:w="1872"/>
            <w:vAlign w:val="top"/>
          </w:tcPr>
          <w:p>
            <w:r/>
            <w:r>
              <w:rPr>
                <w:b w:val="0"/>
                <w:color w:val="0F172A"/>
                <w:sz w:val="14"/>
              </w:rPr>
              <w:t>Ensure grant accountability</w:t>
            </w:r>
          </w:p>
        </w:tc>
        <w:tc>
          <w:tcPr>
            <w:tcW w:type="dxa" w:w="2448"/>
            <w:vAlign w:val="top"/>
          </w:tcPr>
          <w:p>
            <w:r/>
            <w:r>
              <w:rPr>
                <w:b w:val="0"/>
                <w:color w:val="0F172A"/>
                <w:sz w:val="14"/>
              </w:rPr>
              <w:t>Reports submitted on time</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Grant reporting calendar</w:t>
            </w:r>
          </w:p>
        </w:tc>
        <w:tc>
          <w:tcPr>
            <w:tcW w:type="dxa" w:w="1152"/>
            <w:vAlign w:val="top"/>
          </w:tcPr>
          <w:p>
            <w:r/>
            <w:r>
              <w:rPr>
                <w:b w:val="0"/>
                <w:color w:val="0F172A"/>
                <w:sz w:val="14"/>
              </w:rPr>
              <w:t>Quarterly</w:t>
            </w:r>
          </w:p>
        </w:tc>
      </w:tr>
      <w:tr>
        <w:tc>
          <w:tcPr>
            <w:tcW w:type="dxa" w:w="1872"/>
            <w:vAlign w:val="top"/>
          </w:tcPr>
          <w:p>
            <w:r/>
            <w:r>
              <w:rPr>
                <w:b w:val="0"/>
                <w:color w:val="0F172A"/>
                <w:sz w:val="14"/>
              </w:rPr>
              <w:t>Avoid overclaiming climate impact</w:t>
            </w:r>
          </w:p>
        </w:tc>
        <w:tc>
          <w:tcPr>
            <w:tcW w:type="dxa" w:w="2448"/>
            <w:vAlign w:val="top"/>
          </w:tcPr>
          <w:p>
            <w:r/>
            <w:r>
              <w:rPr>
                <w:b w:val="0"/>
                <w:color w:val="0F172A"/>
                <w:sz w:val="14"/>
              </w:rPr>
              <w:t>Emissions impact claims verified before publication</w:t>
            </w:r>
          </w:p>
        </w:tc>
        <w:tc>
          <w:tcPr>
            <w:tcW w:type="dxa" w:w="1152"/>
            <w:vAlign w:val="top"/>
          </w:tcPr>
          <w:p>
            <w:r/>
            <w:r>
              <w:rPr>
                <w:b w:val="0"/>
                <w:color w:val="0F172A"/>
                <w:sz w:val="14"/>
              </w:rPr>
              <w:t>0</w:t>
            </w:r>
          </w:p>
        </w:tc>
        <w:tc>
          <w:tcPr>
            <w:tcW w:type="dxa" w:w="1296"/>
            <w:vAlign w:val="top"/>
          </w:tcPr>
          <w:p>
            <w:r/>
            <w:r>
              <w:rPr>
                <w:b w:val="0"/>
                <w:color w:val="0F172A"/>
                <w:sz w:val="14"/>
              </w:rPr>
              <w:t>100%</w:t>
            </w:r>
          </w:p>
        </w:tc>
        <w:tc>
          <w:tcPr>
            <w:tcW w:type="dxa" w:w="1296"/>
            <w:vAlign w:val="top"/>
          </w:tcPr>
          <w:p>
            <w:r/>
            <w:r>
              <w:rPr>
                <w:b w:val="0"/>
                <w:color w:val="0F172A"/>
                <w:sz w:val="14"/>
              </w:rPr>
              <w:t>100%</w:t>
            </w:r>
          </w:p>
        </w:tc>
        <w:tc>
          <w:tcPr>
            <w:tcW w:type="dxa" w:w="1728"/>
            <w:vAlign w:val="top"/>
          </w:tcPr>
          <w:p>
            <w:r/>
            <w:r>
              <w:rPr>
                <w:b w:val="0"/>
                <w:color w:val="0F172A"/>
                <w:sz w:val="14"/>
              </w:rPr>
              <w:t>Claims review log</w:t>
            </w:r>
          </w:p>
        </w:tc>
        <w:tc>
          <w:tcPr>
            <w:tcW w:type="dxa" w:w="1152"/>
            <w:vAlign w:val="top"/>
          </w:tcPr>
          <w:p>
            <w:r/>
            <w:r>
              <w:rPr>
                <w:b w:val="0"/>
                <w:color w:val="0F172A"/>
                <w:sz w:val="14"/>
              </w:rPr>
              <w:t>Per claim</w:t>
            </w:r>
          </w:p>
        </w:tc>
      </w:tr>
    </w:tbl>
    <w:p>
      <w:pPr>
        <w:pStyle w:val="Heading1"/>
      </w:pPr>
      <w:r>
        <w:t>9. Budget Narrative</w:t>
      </w:r>
    </w:p>
    <w:p>
      <w:r>
        <w:rPr>
          <w:b w:val="0"/>
        </w:rPr>
        <w:t>The total Phase 1 project budget is $6,250,000, consisting of a $5,000,000 grant request and $1,250,000 placeholder applicant match. Detailed cost lines are provided in Budget Breakdown.xlsx. Grant funds will support product engineering, data infrastructure, verification methodology, legal and compliance review, pilot implementation, operations, stakeholder outreach, monitoring and evaluation, and eligible contingency.</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3312"/>
            <w:vAlign w:val="top"/>
            <w:shd w:fill="0F766E"/>
          </w:tcPr>
          <w:p>
            <w:r/>
            <w:r>
              <w:rPr>
                <w:b/>
                <w:color w:val="FFFFFF"/>
                <w:sz w:val="16"/>
              </w:rPr>
              <w:t>Category</w:t>
            </w:r>
          </w:p>
        </w:tc>
        <w:tc>
          <w:tcPr>
            <w:tcW w:type="dxa" w:w="2160"/>
            <w:vAlign w:val="top"/>
            <w:shd w:fill="0F766E"/>
          </w:tcPr>
          <w:p>
            <w:r/>
            <w:r>
              <w:rPr>
                <w:b/>
                <w:color w:val="FFFFFF"/>
                <w:sz w:val="16"/>
              </w:rPr>
              <w:t>Grant Funds</w:t>
            </w:r>
          </w:p>
        </w:tc>
        <w:tc>
          <w:tcPr>
            <w:tcW w:type="dxa" w:w="2160"/>
            <w:vAlign w:val="top"/>
            <w:shd w:fill="0F766E"/>
          </w:tcPr>
          <w:p>
            <w:r/>
            <w:r>
              <w:rPr>
                <w:b/>
                <w:color w:val="FFFFFF"/>
                <w:sz w:val="16"/>
              </w:rPr>
              <w:t>Applicant Match</w:t>
            </w:r>
          </w:p>
        </w:tc>
        <w:tc>
          <w:tcPr>
            <w:tcW w:type="dxa" w:w="2160"/>
            <w:vAlign w:val="top"/>
            <w:shd w:fill="0F766E"/>
          </w:tcPr>
          <w:p>
            <w:r/>
            <w:r>
              <w:rPr>
                <w:b/>
                <w:color w:val="FFFFFF"/>
                <w:sz w:val="16"/>
              </w:rPr>
              <w:t>Total</w:t>
            </w:r>
          </w:p>
        </w:tc>
      </w:tr>
      <w:tr>
        <w:tc>
          <w:tcPr>
            <w:tcW w:type="dxa" w:w="3312"/>
            <w:vAlign w:val="top"/>
          </w:tcPr>
          <w:p>
            <w:r/>
            <w:r>
              <w:rPr>
                <w:b w:val="0"/>
                <w:color w:val="0F172A"/>
                <w:sz w:val="16"/>
              </w:rPr>
              <w:t>Product &amp; Engineering</w:t>
            </w:r>
          </w:p>
        </w:tc>
        <w:tc>
          <w:tcPr>
            <w:tcW w:type="dxa" w:w="2160"/>
            <w:vAlign w:val="top"/>
          </w:tcPr>
          <w:p>
            <w:r/>
            <w:r>
              <w:rPr>
                <w:b w:val="0"/>
                <w:color w:val="0F172A"/>
                <w:sz w:val="16"/>
              </w:rPr>
              <w:t>$1,250,000</w:t>
            </w:r>
          </w:p>
        </w:tc>
        <w:tc>
          <w:tcPr>
            <w:tcW w:type="dxa" w:w="2160"/>
            <w:vAlign w:val="top"/>
          </w:tcPr>
          <w:p>
            <w:r/>
            <w:r>
              <w:rPr>
                <w:b w:val="0"/>
                <w:color w:val="0F172A"/>
                <w:sz w:val="16"/>
              </w:rPr>
              <w:t>$325,000</w:t>
            </w:r>
          </w:p>
        </w:tc>
        <w:tc>
          <w:tcPr>
            <w:tcW w:type="dxa" w:w="2160"/>
            <w:vAlign w:val="top"/>
          </w:tcPr>
          <w:p>
            <w:r/>
            <w:r>
              <w:rPr>
                <w:b w:val="0"/>
                <w:color w:val="0F172A"/>
                <w:sz w:val="16"/>
              </w:rPr>
              <w:t>$1,575,000</w:t>
            </w:r>
          </w:p>
        </w:tc>
      </w:tr>
      <w:tr>
        <w:tc>
          <w:tcPr>
            <w:tcW w:type="dxa" w:w="3312"/>
            <w:vAlign w:val="top"/>
          </w:tcPr>
          <w:p>
            <w:r/>
            <w:r>
              <w:rPr>
                <w:b w:val="0"/>
                <w:color w:val="0F172A"/>
                <w:sz w:val="16"/>
              </w:rPr>
              <w:t>Data &amp; Verification</w:t>
            </w:r>
          </w:p>
        </w:tc>
        <w:tc>
          <w:tcPr>
            <w:tcW w:type="dxa" w:w="2160"/>
            <w:vAlign w:val="top"/>
          </w:tcPr>
          <w:p>
            <w:r/>
            <w:r>
              <w:rPr>
                <w:b w:val="0"/>
                <w:color w:val="0F172A"/>
                <w:sz w:val="16"/>
              </w:rPr>
              <w:t>$1,000,000</w:t>
            </w:r>
          </w:p>
        </w:tc>
        <w:tc>
          <w:tcPr>
            <w:tcW w:type="dxa" w:w="2160"/>
            <w:vAlign w:val="top"/>
          </w:tcPr>
          <w:p>
            <w:r/>
            <w:r>
              <w:rPr>
                <w:b w:val="0"/>
                <w:color w:val="0F172A"/>
                <w:sz w:val="16"/>
              </w:rPr>
              <w:t>$225,000</w:t>
            </w:r>
          </w:p>
        </w:tc>
        <w:tc>
          <w:tcPr>
            <w:tcW w:type="dxa" w:w="2160"/>
            <w:vAlign w:val="top"/>
          </w:tcPr>
          <w:p>
            <w:r/>
            <w:r>
              <w:rPr>
                <w:b w:val="0"/>
                <w:color w:val="0F172A"/>
                <w:sz w:val="16"/>
              </w:rPr>
              <w:t>$1,225,000</w:t>
            </w:r>
          </w:p>
        </w:tc>
      </w:tr>
      <w:tr>
        <w:tc>
          <w:tcPr>
            <w:tcW w:type="dxa" w:w="3312"/>
            <w:vAlign w:val="top"/>
          </w:tcPr>
          <w:p>
            <w:r/>
            <w:r>
              <w:rPr>
                <w:b w:val="0"/>
                <w:color w:val="0F172A"/>
                <w:sz w:val="16"/>
              </w:rPr>
              <w:t>Compliance &amp; Governance</w:t>
            </w:r>
          </w:p>
        </w:tc>
        <w:tc>
          <w:tcPr>
            <w:tcW w:type="dxa" w:w="2160"/>
            <w:vAlign w:val="top"/>
          </w:tcPr>
          <w:p>
            <w:r/>
            <w:r>
              <w:rPr>
                <w:b w:val="0"/>
                <w:color w:val="0F172A"/>
                <w:sz w:val="16"/>
              </w:rPr>
              <w:t>$600,000</w:t>
            </w:r>
          </w:p>
        </w:tc>
        <w:tc>
          <w:tcPr>
            <w:tcW w:type="dxa" w:w="2160"/>
            <w:vAlign w:val="top"/>
          </w:tcPr>
          <w:p>
            <w:r/>
            <w:r>
              <w:rPr>
                <w:b w:val="0"/>
                <w:color w:val="0F172A"/>
                <w:sz w:val="16"/>
              </w:rPr>
              <w:t>$150,000</w:t>
            </w:r>
          </w:p>
        </w:tc>
        <w:tc>
          <w:tcPr>
            <w:tcW w:type="dxa" w:w="2160"/>
            <w:vAlign w:val="top"/>
          </w:tcPr>
          <w:p>
            <w:r/>
            <w:r>
              <w:rPr>
                <w:b w:val="0"/>
                <w:color w:val="0F172A"/>
                <w:sz w:val="16"/>
              </w:rPr>
              <w:t>$750,000</w:t>
            </w:r>
          </w:p>
        </w:tc>
      </w:tr>
      <w:tr>
        <w:tc>
          <w:tcPr>
            <w:tcW w:type="dxa" w:w="3312"/>
            <w:vAlign w:val="top"/>
          </w:tcPr>
          <w:p>
            <w:r/>
            <w:r>
              <w:rPr>
                <w:b w:val="0"/>
                <w:color w:val="0F172A"/>
                <w:sz w:val="16"/>
              </w:rPr>
              <w:t>Pilot Implementation</w:t>
            </w:r>
          </w:p>
        </w:tc>
        <w:tc>
          <w:tcPr>
            <w:tcW w:type="dxa" w:w="2160"/>
            <w:vAlign w:val="top"/>
          </w:tcPr>
          <w:p>
            <w:r/>
            <w:r>
              <w:rPr>
                <w:b w:val="0"/>
                <w:color w:val="0F172A"/>
                <w:sz w:val="16"/>
              </w:rPr>
              <w:t>$750,000</w:t>
            </w:r>
          </w:p>
        </w:tc>
        <w:tc>
          <w:tcPr>
            <w:tcW w:type="dxa" w:w="2160"/>
            <w:vAlign w:val="top"/>
          </w:tcPr>
          <w:p>
            <w:r/>
            <w:r>
              <w:rPr>
                <w:b w:val="0"/>
                <w:color w:val="0F172A"/>
                <w:sz w:val="16"/>
              </w:rPr>
              <w:t>$225,000</w:t>
            </w:r>
          </w:p>
        </w:tc>
        <w:tc>
          <w:tcPr>
            <w:tcW w:type="dxa" w:w="2160"/>
            <w:vAlign w:val="top"/>
          </w:tcPr>
          <w:p>
            <w:r/>
            <w:r>
              <w:rPr>
                <w:b w:val="0"/>
                <w:color w:val="0F172A"/>
                <w:sz w:val="16"/>
              </w:rPr>
              <w:t>$975,000</w:t>
            </w:r>
          </w:p>
        </w:tc>
      </w:tr>
      <w:tr>
        <w:tc>
          <w:tcPr>
            <w:tcW w:type="dxa" w:w="3312"/>
            <w:vAlign w:val="top"/>
          </w:tcPr>
          <w:p>
            <w:r/>
            <w:r>
              <w:rPr>
                <w:b w:val="0"/>
                <w:color w:val="0F172A"/>
                <w:sz w:val="16"/>
              </w:rPr>
              <w:t>Operations &amp; Staffing</w:t>
            </w:r>
          </w:p>
        </w:tc>
        <w:tc>
          <w:tcPr>
            <w:tcW w:type="dxa" w:w="2160"/>
            <w:vAlign w:val="top"/>
          </w:tcPr>
          <w:p>
            <w:r/>
            <w:r>
              <w:rPr>
                <w:b w:val="0"/>
                <w:color w:val="0F172A"/>
                <w:sz w:val="16"/>
              </w:rPr>
              <w:t>$850,000</w:t>
            </w:r>
          </w:p>
        </w:tc>
        <w:tc>
          <w:tcPr>
            <w:tcW w:type="dxa" w:w="2160"/>
            <w:vAlign w:val="top"/>
          </w:tcPr>
          <w:p>
            <w:r/>
            <w:r>
              <w:rPr>
                <w:b w:val="0"/>
                <w:color w:val="0F172A"/>
                <w:sz w:val="16"/>
              </w:rPr>
              <w:t>$200,000</w:t>
            </w:r>
          </w:p>
        </w:tc>
        <w:tc>
          <w:tcPr>
            <w:tcW w:type="dxa" w:w="2160"/>
            <w:vAlign w:val="top"/>
          </w:tcPr>
          <w:p>
            <w:r/>
            <w:r>
              <w:rPr>
                <w:b w:val="0"/>
                <w:color w:val="0F172A"/>
                <w:sz w:val="16"/>
              </w:rPr>
              <w:t>$1,050,000</w:t>
            </w:r>
          </w:p>
        </w:tc>
      </w:tr>
      <w:tr>
        <w:tc>
          <w:tcPr>
            <w:tcW w:type="dxa" w:w="3312"/>
            <w:vAlign w:val="top"/>
          </w:tcPr>
          <w:p>
            <w:r/>
            <w:r>
              <w:rPr>
                <w:b w:val="0"/>
                <w:color w:val="0F172A"/>
                <w:sz w:val="16"/>
              </w:rPr>
              <w:t>Outreach &amp; Dissemination</w:t>
            </w:r>
          </w:p>
        </w:tc>
        <w:tc>
          <w:tcPr>
            <w:tcW w:type="dxa" w:w="2160"/>
            <w:vAlign w:val="top"/>
          </w:tcPr>
          <w:p>
            <w:r/>
            <w:r>
              <w:rPr>
                <w:b w:val="0"/>
                <w:color w:val="0F172A"/>
                <w:sz w:val="16"/>
              </w:rPr>
              <w:t>$325,000</w:t>
            </w:r>
          </w:p>
        </w:tc>
        <w:tc>
          <w:tcPr>
            <w:tcW w:type="dxa" w:w="2160"/>
            <w:vAlign w:val="top"/>
          </w:tcPr>
          <w:p>
            <w:r/>
            <w:r>
              <w:rPr>
                <w:b w:val="0"/>
                <w:color w:val="0F172A"/>
                <w:sz w:val="16"/>
              </w:rPr>
              <w:t>$75,000</w:t>
            </w:r>
          </w:p>
        </w:tc>
        <w:tc>
          <w:tcPr>
            <w:tcW w:type="dxa" w:w="2160"/>
            <w:vAlign w:val="top"/>
          </w:tcPr>
          <w:p>
            <w:r/>
            <w:r>
              <w:rPr>
                <w:b w:val="0"/>
                <w:color w:val="0F172A"/>
                <w:sz w:val="16"/>
              </w:rPr>
              <w:t>$400,000</w:t>
            </w:r>
          </w:p>
        </w:tc>
      </w:tr>
      <w:tr>
        <w:tc>
          <w:tcPr>
            <w:tcW w:type="dxa" w:w="3312"/>
            <w:vAlign w:val="top"/>
          </w:tcPr>
          <w:p>
            <w:r/>
            <w:r>
              <w:rPr>
                <w:b w:val="0"/>
                <w:color w:val="0F172A"/>
                <w:sz w:val="16"/>
              </w:rPr>
              <w:t>Monitoring &amp; Evaluation</w:t>
            </w:r>
          </w:p>
        </w:tc>
        <w:tc>
          <w:tcPr>
            <w:tcW w:type="dxa" w:w="2160"/>
            <w:vAlign w:val="top"/>
          </w:tcPr>
          <w:p>
            <w:r/>
            <w:r>
              <w:rPr>
                <w:b w:val="0"/>
                <w:color w:val="0F172A"/>
                <w:sz w:val="16"/>
              </w:rPr>
              <w:t>$175,000</w:t>
            </w:r>
          </w:p>
        </w:tc>
        <w:tc>
          <w:tcPr>
            <w:tcW w:type="dxa" w:w="2160"/>
            <w:vAlign w:val="top"/>
          </w:tcPr>
          <w:p>
            <w:r/>
            <w:r>
              <w:rPr>
                <w:b w:val="0"/>
                <w:color w:val="0F172A"/>
                <w:sz w:val="16"/>
              </w:rPr>
              <w:t>$50,000</w:t>
            </w:r>
          </w:p>
        </w:tc>
        <w:tc>
          <w:tcPr>
            <w:tcW w:type="dxa" w:w="2160"/>
            <w:vAlign w:val="top"/>
          </w:tcPr>
          <w:p>
            <w:r/>
            <w:r>
              <w:rPr>
                <w:b w:val="0"/>
                <w:color w:val="0F172A"/>
                <w:sz w:val="16"/>
              </w:rPr>
              <w:t>$225,000</w:t>
            </w:r>
          </w:p>
        </w:tc>
      </w:tr>
      <w:tr>
        <w:tc>
          <w:tcPr>
            <w:tcW w:type="dxa" w:w="3312"/>
            <w:vAlign w:val="top"/>
          </w:tcPr>
          <w:p>
            <w:r/>
            <w:r>
              <w:rPr>
                <w:b w:val="0"/>
                <w:color w:val="0F172A"/>
                <w:sz w:val="16"/>
              </w:rPr>
              <w:t>Contingency</w:t>
            </w:r>
          </w:p>
        </w:tc>
        <w:tc>
          <w:tcPr>
            <w:tcW w:type="dxa" w:w="2160"/>
            <w:vAlign w:val="top"/>
          </w:tcPr>
          <w:p>
            <w:r/>
            <w:r>
              <w:rPr>
                <w:b w:val="0"/>
                <w:color w:val="0F172A"/>
                <w:sz w:val="16"/>
              </w:rPr>
              <w:t>$50,000</w:t>
            </w:r>
          </w:p>
        </w:tc>
        <w:tc>
          <w:tcPr>
            <w:tcW w:type="dxa" w:w="2160"/>
            <w:vAlign w:val="top"/>
          </w:tcPr>
          <w:p>
            <w:r/>
            <w:r>
              <w:rPr>
                <w:b w:val="0"/>
                <w:color w:val="0F172A"/>
                <w:sz w:val="16"/>
              </w:rPr>
              <w:t>$0</w:t>
            </w:r>
          </w:p>
        </w:tc>
        <w:tc>
          <w:tcPr>
            <w:tcW w:type="dxa" w:w="2160"/>
            <w:vAlign w:val="top"/>
          </w:tcPr>
          <w:p>
            <w:r/>
            <w:r>
              <w:rPr>
                <w:b w:val="0"/>
                <w:color w:val="0F172A"/>
                <w:sz w:val="16"/>
              </w:rPr>
              <w:t>$50,000</w:t>
            </w:r>
          </w:p>
        </w:tc>
      </w:tr>
      <w:tr>
        <w:tc>
          <w:tcPr>
            <w:tcW w:type="dxa" w:w="3312"/>
            <w:vAlign w:val="top"/>
            <w:shd w:fill="E2E8F0"/>
          </w:tcPr>
          <w:p>
            <w:r/>
            <w:r>
              <w:rPr>
                <w:b/>
                <w:color w:val="0F172A"/>
                <w:sz w:val="16"/>
              </w:rPr>
              <w:t>TOTAL</w:t>
            </w:r>
          </w:p>
        </w:tc>
        <w:tc>
          <w:tcPr>
            <w:tcW w:type="dxa" w:w="2160"/>
            <w:vAlign w:val="top"/>
            <w:shd w:fill="E2E8F0"/>
          </w:tcPr>
          <w:p>
            <w:r/>
            <w:r>
              <w:rPr>
                <w:b/>
                <w:color w:val="0F172A"/>
                <w:sz w:val="16"/>
              </w:rPr>
              <w:t>$5,000,000</w:t>
            </w:r>
          </w:p>
        </w:tc>
        <w:tc>
          <w:tcPr>
            <w:tcW w:type="dxa" w:w="2160"/>
            <w:vAlign w:val="top"/>
            <w:shd w:fill="E2E8F0"/>
          </w:tcPr>
          <w:p>
            <w:r/>
            <w:r>
              <w:rPr>
                <w:b/>
                <w:color w:val="0F172A"/>
                <w:sz w:val="16"/>
              </w:rPr>
              <w:t>$1,250,000</w:t>
            </w:r>
          </w:p>
        </w:tc>
        <w:tc>
          <w:tcPr>
            <w:tcW w:type="dxa" w:w="2160"/>
            <w:vAlign w:val="top"/>
            <w:shd w:fill="E2E8F0"/>
          </w:tcPr>
          <w:p>
            <w:r/>
            <w:r>
              <w:rPr>
                <w:b/>
                <w:color w:val="0F172A"/>
                <w:sz w:val="16"/>
              </w:rPr>
              <w:t>$6,250,000</w:t>
            </w:r>
          </w:p>
        </w:tc>
      </w:tr>
    </w:tbl>
    <w:p>
      <w:pPr>
        <w:pStyle w:val="Heading1"/>
      </w:pPr>
      <w:r>
        <w:t>10. Organizational Capacity</w:t>
      </w:r>
    </w:p>
    <w:p>
      <w:r>
        <w:rPr>
          <w:b w:val="0"/>
        </w:rPr>
        <w:t>The source documents describe planned executive roles but do not provide confirmed personnel or resumes. Before submission, the applicant must add named staff, time commitments, advisors, partner roles, and an independent evaluator. Capacity should be demonstrated through technical delivery experience, data engineering capability, compliance support, financial controls, and pilot partner commitments.</w:t>
      </w:r>
    </w:p>
    <w:p>
      <w:pPr>
        <w:pStyle w:val="Heading1"/>
      </w:pPr>
      <w:r>
        <w:t>11. Sustainability After Grant Funding</w:t>
      </w:r>
    </w:p>
    <w:p>
      <w:r>
        <w:rPr>
          <w:b w:val="0"/>
        </w:rPr>
        <w:t>After the pilot, the platform will seek sustainability through subscriptions, API/reporting services, due diligence support, and legally compliant transaction fees. The grant will de-risk the public-benefit validation phase and create evidence needed for responsible scale-up. Future equity or debt financing should be pursued only after pilot validation and should not be presented as a government grant objective.</w:t>
      </w:r>
    </w:p>
    <w:p>
      <w:pPr>
        <w:pStyle w:val="Heading1"/>
      </w:pPr>
      <w:r>
        <w:t>12. Risk Management</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592"/>
            <w:vAlign w:val="top"/>
            <w:shd w:fill="0F766E"/>
          </w:tcPr>
          <w:p>
            <w:r/>
            <w:r>
              <w:rPr>
                <w:b/>
                <w:color w:val="FFFFFF"/>
                <w:sz w:val="15"/>
              </w:rPr>
              <w:t>Risk</w:t>
            </w:r>
          </w:p>
        </w:tc>
        <w:tc>
          <w:tcPr>
            <w:tcW w:type="dxa" w:w="1152"/>
            <w:vAlign w:val="top"/>
            <w:shd w:fill="0F766E"/>
          </w:tcPr>
          <w:p>
            <w:r/>
            <w:r>
              <w:rPr>
                <w:b/>
                <w:color w:val="FFFFFF"/>
                <w:sz w:val="15"/>
              </w:rPr>
              <w:t>Likelihood</w:t>
            </w:r>
          </w:p>
        </w:tc>
        <w:tc>
          <w:tcPr>
            <w:tcW w:type="dxa" w:w="1152"/>
            <w:vAlign w:val="top"/>
            <w:shd w:fill="0F766E"/>
          </w:tcPr>
          <w:p>
            <w:r/>
            <w:r>
              <w:rPr>
                <w:b/>
                <w:color w:val="FFFFFF"/>
                <w:sz w:val="15"/>
              </w:rPr>
              <w:t>Impact</w:t>
            </w:r>
          </w:p>
        </w:tc>
        <w:tc>
          <w:tcPr>
            <w:tcW w:type="dxa" w:w="4320"/>
            <w:vAlign w:val="top"/>
            <w:shd w:fill="0F766E"/>
          </w:tcPr>
          <w:p>
            <w:r/>
            <w:r>
              <w:rPr>
                <w:b/>
                <w:color w:val="FFFFFF"/>
                <w:sz w:val="15"/>
              </w:rPr>
              <w:t>Mitigation</w:t>
            </w:r>
          </w:p>
        </w:tc>
        <w:tc>
          <w:tcPr>
            <w:tcW w:type="dxa" w:w="1296"/>
            <w:vAlign w:val="top"/>
            <w:shd w:fill="0F766E"/>
          </w:tcPr>
          <w:p>
            <w:r/>
            <w:r>
              <w:rPr>
                <w:b/>
                <w:color w:val="FFFFFF"/>
                <w:sz w:val="15"/>
              </w:rPr>
              <w:t>Residual Risk</w:t>
            </w:r>
          </w:p>
        </w:tc>
      </w:tr>
      <w:tr>
        <w:tc>
          <w:tcPr>
            <w:tcW w:type="dxa" w:w="2592"/>
            <w:vAlign w:val="top"/>
          </w:tcPr>
          <w:p>
            <w:r/>
            <w:r>
              <w:rPr>
                <w:b w:val="0"/>
                <w:color w:val="0F172A"/>
                <w:sz w:val="15"/>
              </w:rPr>
              <w:t>Applicant eligibility not confirmed</w:t>
            </w:r>
          </w:p>
        </w:tc>
        <w:tc>
          <w:tcPr>
            <w:tcW w:type="dxa" w:w="1152"/>
            <w:vAlign w:val="top"/>
          </w:tcPr>
          <w:p>
            <w:r/>
            <w:r>
              <w:rPr>
                <w:b w:val="0"/>
                <w:color w:val="0F172A"/>
                <w:sz w:val="15"/>
              </w:rPr>
              <w:t>High</w:t>
            </w:r>
          </w:p>
        </w:tc>
        <w:tc>
          <w:tcPr>
            <w:tcW w:type="dxa" w:w="1152"/>
            <w:vAlign w:val="top"/>
          </w:tcPr>
          <w:p>
            <w:r/>
            <w:r>
              <w:rPr>
                <w:b w:val="0"/>
                <w:color w:val="0F172A"/>
                <w:sz w:val="15"/>
              </w:rPr>
              <w:t>High</w:t>
            </w:r>
          </w:p>
        </w:tc>
        <w:tc>
          <w:tcPr>
            <w:tcW w:type="dxa" w:w="4320"/>
            <w:vAlign w:val="top"/>
          </w:tcPr>
          <w:p>
            <w:r/>
            <w:r>
              <w:rPr>
                <w:b w:val="0"/>
                <w:color w:val="0F172A"/>
                <w:sz w:val="15"/>
              </w:rPr>
              <w:t>Confirm legal entity, jurisdiction, and grant program requirements before submission.</w:t>
            </w:r>
          </w:p>
        </w:tc>
        <w:tc>
          <w:tcPr>
            <w:tcW w:type="dxa" w:w="1296"/>
            <w:vAlign w:val="top"/>
          </w:tcPr>
          <w:p>
            <w:r/>
            <w:r>
              <w:rPr>
                <w:b w:val="0"/>
                <w:color w:val="0F172A"/>
                <w:sz w:val="15"/>
              </w:rPr>
              <w:t>Medium</w:t>
            </w:r>
          </w:p>
        </w:tc>
      </w:tr>
      <w:tr>
        <w:tc>
          <w:tcPr>
            <w:tcW w:type="dxa" w:w="2592"/>
            <w:vAlign w:val="top"/>
          </w:tcPr>
          <w:p>
            <w:r/>
            <w:r>
              <w:rPr>
                <w:b w:val="0"/>
                <w:color w:val="0F172A"/>
                <w:sz w:val="15"/>
              </w:rPr>
              <w:t>Carbon credit integrity concerns</w:t>
            </w:r>
          </w:p>
        </w:tc>
        <w:tc>
          <w:tcPr>
            <w:tcW w:type="dxa" w:w="1152"/>
            <w:vAlign w:val="top"/>
          </w:tcPr>
          <w:p>
            <w:r/>
            <w:r>
              <w:rPr>
                <w:b w:val="0"/>
                <w:color w:val="0F172A"/>
                <w:sz w:val="15"/>
              </w:rPr>
              <w:t>High</w:t>
            </w:r>
          </w:p>
        </w:tc>
        <w:tc>
          <w:tcPr>
            <w:tcW w:type="dxa" w:w="1152"/>
            <w:vAlign w:val="top"/>
          </w:tcPr>
          <w:p>
            <w:r/>
            <w:r>
              <w:rPr>
                <w:b w:val="0"/>
                <w:color w:val="0F172A"/>
                <w:sz w:val="15"/>
              </w:rPr>
              <w:t>High</w:t>
            </w:r>
          </w:p>
        </w:tc>
        <w:tc>
          <w:tcPr>
            <w:tcW w:type="dxa" w:w="4320"/>
            <w:vAlign w:val="top"/>
          </w:tcPr>
          <w:p>
            <w:r/>
            <w:r>
              <w:rPr>
                <w:b w:val="0"/>
                <w:color w:val="0F172A"/>
                <w:sz w:val="15"/>
              </w:rPr>
              <w:t>Use ICVCM/VCMI-aligned criteria, independent expert review, transparent methodology, and conservative claims.</w:t>
            </w:r>
          </w:p>
        </w:tc>
        <w:tc>
          <w:tcPr>
            <w:tcW w:type="dxa" w:w="1296"/>
            <w:vAlign w:val="top"/>
          </w:tcPr>
          <w:p>
            <w:r/>
            <w:r>
              <w:rPr>
                <w:b w:val="0"/>
                <w:color w:val="0F172A"/>
                <w:sz w:val="15"/>
              </w:rPr>
              <w:t>Medium</w:t>
            </w:r>
          </w:p>
        </w:tc>
      </w:tr>
      <w:tr>
        <w:tc>
          <w:tcPr>
            <w:tcW w:type="dxa" w:w="2592"/>
            <w:vAlign w:val="top"/>
          </w:tcPr>
          <w:p>
            <w:r/>
            <w:r>
              <w:rPr>
                <w:b w:val="0"/>
                <w:color w:val="0F172A"/>
                <w:sz w:val="15"/>
              </w:rPr>
              <w:t>Regulatory/licensing exposure</w:t>
            </w:r>
          </w:p>
        </w:tc>
        <w:tc>
          <w:tcPr>
            <w:tcW w:type="dxa" w:w="1152"/>
            <w:vAlign w:val="top"/>
          </w:tcPr>
          <w:p>
            <w:r/>
            <w:r>
              <w:rPr>
                <w:b w:val="0"/>
                <w:color w:val="0F172A"/>
                <w:sz w:val="15"/>
              </w:rPr>
              <w:t>Medium</w:t>
            </w:r>
          </w:p>
        </w:tc>
        <w:tc>
          <w:tcPr>
            <w:tcW w:type="dxa" w:w="1152"/>
            <w:vAlign w:val="top"/>
          </w:tcPr>
          <w:p>
            <w:r/>
            <w:r>
              <w:rPr>
                <w:b w:val="0"/>
                <w:color w:val="0F172A"/>
                <w:sz w:val="15"/>
              </w:rPr>
              <w:t>High</w:t>
            </w:r>
          </w:p>
        </w:tc>
        <w:tc>
          <w:tcPr>
            <w:tcW w:type="dxa" w:w="4320"/>
            <w:vAlign w:val="top"/>
          </w:tcPr>
          <w:p>
            <w:r/>
            <w:r>
              <w:rPr>
                <w:b w:val="0"/>
                <w:color w:val="0F172A"/>
                <w:sz w:val="15"/>
              </w:rPr>
              <w:t>Obtain legal opinion on trading, brokerage, payments, AML/KYC, sanctions, and escrow structures.</w:t>
            </w:r>
          </w:p>
        </w:tc>
        <w:tc>
          <w:tcPr>
            <w:tcW w:type="dxa" w:w="1296"/>
            <w:vAlign w:val="top"/>
          </w:tcPr>
          <w:p>
            <w:r/>
            <w:r>
              <w:rPr>
                <w:b w:val="0"/>
                <w:color w:val="0F172A"/>
                <w:sz w:val="15"/>
              </w:rPr>
              <w:t>Medium</w:t>
            </w:r>
          </w:p>
        </w:tc>
      </w:tr>
      <w:tr>
        <w:tc>
          <w:tcPr>
            <w:tcW w:type="dxa" w:w="2592"/>
            <w:vAlign w:val="top"/>
          </w:tcPr>
          <w:p>
            <w:r/>
            <w:r>
              <w:rPr>
                <w:b w:val="0"/>
                <w:color w:val="0F172A"/>
                <w:sz w:val="15"/>
              </w:rPr>
              <w:t>Overstated financial projections</w:t>
            </w:r>
          </w:p>
        </w:tc>
        <w:tc>
          <w:tcPr>
            <w:tcW w:type="dxa" w:w="1152"/>
            <w:vAlign w:val="top"/>
          </w:tcPr>
          <w:p>
            <w:r/>
            <w:r>
              <w:rPr>
                <w:b w:val="0"/>
                <w:color w:val="0F172A"/>
                <w:sz w:val="15"/>
              </w:rPr>
              <w:t>High</w:t>
            </w:r>
          </w:p>
        </w:tc>
        <w:tc>
          <w:tcPr>
            <w:tcW w:type="dxa" w:w="1152"/>
            <w:vAlign w:val="top"/>
          </w:tcPr>
          <w:p>
            <w:r/>
            <w:r>
              <w:rPr>
                <w:b w:val="0"/>
                <w:color w:val="0F172A"/>
                <w:sz w:val="15"/>
              </w:rPr>
              <w:t>High</w:t>
            </w:r>
          </w:p>
        </w:tc>
        <w:tc>
          <w:tcPr>
            <w:tcW w:type="dxa" w:w="4320"/>
            <w:vAlign w:val="top"/>
          </w:tcPr>
          <w:p>
            <w:r/>
            <w:r>
              <w:rPr>
                <w:b w:val="0"/>
                <w:color w:val="0F172A"/>
                <w:sz w:val="15"/>
              </w:rPr>
              <w:t>Use conservative base case; treat original $120M-$155M Year 5 case as unvalidated upside.</w:t>
            </w:r>
          </w:p>
        </w:tc>
        <w:tc>
          <w:tcPr>
            <w:tcW w:type="dxa" w:w="1296"/>
            <w:vAlign w:val="top"/>
          </w:tcPr>
          <w:p>
            <w:r/>
            <w:r>
              <w:rPr>
                <w:b w:val="0"/>
                <w:color w:val="0F172A"/>
                <w:sz w:val="15"/>
              </w:rPr>
              <w:t>Medium</w:t>
            </w:r>
          </w:p>
        </w:tc>
      </w:tr>
      <w:tr>
        <w:tc>
          <w:tcPr>
            <w:tcW w:type="dxa" w:w="2592"/>
            <w:vAlign w:val="top"/>
          </w:tcPr>
          <w:p>
            <w:r/>
            <w:r>
              <w:rPr>
                <w:b w:val="0"/>
                <w:color w:val="0F172A"/>
                <w:sz w:val="15"/>
              </w:rPr>
              <w:t>No confirmed pilot customers</w:t>
            </w:r>
          </w:p>
        </w:tc>
        <w:tc>
          <w:tcPr>
            <w:tcW w:type="dxa" w:w="1152"/>
            <w:vAlign w:val="top"/>
          </w:tcPr>
          <w:p>
            <w:r/>
            <w:r>
              <w:rPr>
                <w:b w:val="0"/>
                <w:color w:val="0F172A"/>
                <w:sz w:val="15"/>
              </w:rPr>
              <w:t>High</w:t>
            </w:r>
          </w:p>
        </w:tc>
        <w:tc>
          <w:tcPr>
            <w:tcW w:type="dxa" w:w="1152"/>
            <w:vAlign w:val="top"/>
          </w:tcPr>
          <w:p>
            <w:r/>
            <w:r>
              <w:rPr>
                <w:b w:val="0"/>
                <w:color w:val="0F172A"/>
                <w:sz w:val="15"/>
              </w:rPr>
              <w:t>High</w:t>
            </w:r>
          </w:p>
        </w:tc>
        <w:tc>
          <w:tcPr>
            <w:tcW w:type="dxa" w:w="4320"/>
            <w:vAlign w:val="top"/>
          </w:tcPr>
          <w:p>
            <w:r/>
            <w:r>
              <w:rPr>
                <w:b w:val="0"/>
                <w:color w:val="0F172A"/>
                <w:sz w:val="15"/>
              </w:rPr>
              <w:t>Secure LOIs and define pilot recruitment milestones before submission.</w:t>
            </w:r>
          </w:p>
        </w:tc>
        <w:tc>
          <w:tcPr>
            <w:tcW w:type="dxa" w:w="1296"/>
            <w:vAlign w:val="top"/>
          </w:tcPr>
          <w:p>
            <w:r/>
            <w:r>
              <w:rPr>
                <w:b w:val="0"/>
                <w:color w:val="0F172A"/>
                <w:sz w:val="15"/>
              </w:rPr>
              <w:t>Medium</w:t>
            </w:r>
          </w:p>
        </w:tc>
      </w:tr>
      <w:tr>
        <w:tc>
          <w:tcPr>
            <w:tcW w:type="dxa" w:w="2592"/>
            <w:vAlign w:val="top"/>
          </w:tcPr>
          <w:p>
            <w:r/>
            <w:r>
              <w:rPr>
                <w:b w:val="0"/>
                <w:color w:val="0F172A"/>
                <w:sz w:val="15"/>
              </w:rPr>
              <w:t>Data rights and quality gaps</w:t>
            </w:r>
          </w:p>
        </w:tc>
        <w:tc>
          <w:tcPr>
            <w:tcW w:type="dxa" w:w="1152"/>
            <w:vAlign w:val="top"/>
          </w:tcPr>
          <w:p>
            <w:r/>
            <w:r>
              <w:rPr>
                <w:b w:val="0"/>
                <w:color w:val="0F172A"/>
                <w:sz w:val="15"/>
              </w:rPr>
              <w:t>Medium</w:t>
            </w:r>
          </w:p>
        </w:tc>
        <w:tc>
          <w:tcPr>
            <w:tcW w:type="dxa" w:w="1152"/>
            <w:vAlign w:val="top"/>
          </w:tcPr>
          <w:p>
            <w:r/>
            <w:r>
              <w:rPr>
                <w:b w:val="0"/>
                <w:color w:val="0F172A"/>
                <w:sz w:val="15"/>
              </w:rPr>
              <w:t>High</w:t>
            </w:r>
          </w:p>
        </w:tc>
        <w:tc>
          <w:tcPr>
            <w:tcW w:type="dxa" w:w="4320"/>
            <w:vAlign w:val="top"/>
          </w:tcPr>
          <w:p>
            <w:r/>
            <w:r>
              <w:rPr>
                <w:b w:val="0"/>
                <w:color w:val="0F172A"/>
                <w:sz w:val="15"/>
              </w:rPr>
              <w:t>Document data sources, licenses, registry terms, quality checks, and audit trails.</w:t>
            </w:r>
          </w:p>
        </w:tc>
        <w:tc>
          <w:tcPr>
            <w:tcW w:type="dxa" w:w="1296"/>
            <w:vAlign w:val="top"/>
          </w:tcPr>
          <w:p>
            <w:r/>
            <w:r>
              <w:rPr>
                <w:b w:val="0"/>
                <w:color w:val="0F172A"/>
                <w:sz w:val="15"/>
              </w:rPr>
              <w:t>Medium</w:t>
            </w:r>
          </w:p>
        </w:tc>
      </w:tr>
      <w:tr>
        <w:tc>
          <w:tcPr>
            <w:tcW w:type="dxa" w:w="2592"/>
            <w:vAlign w:val="top"/>
          </w:tcPr>
          <w:p>
            <w:r/>
            <w:r>
              <w:rPr>
                <w:b w:val="0"/>
                <w:color w:val="0F172A"/>
                <w:sz w:val="15"/>
              </w:rPr>
              <w:t>Cybersecurity/privacy breach</w:t>
            </w:r>
          </w:p>
        </w:tc>
        <w:tc>
          <w:tcPr>
            <w:tcW w:type="dxa" w:w="1152"/>
            <w:vAlign w:val="top"/>
          </w:tcPr>
          <w:p>
            <w:r/>
            <w:r>
              <w:rPr>
                <w:b w:val="0"/>
                <w:color w:val="0F172A"/>
                <w:sz w:val="15"/>
              </w:rPr>
              <w:t>Medium</w:t>
            </w:r>
          </w:p>
        </w:tc>
        <w:tc>
          <w:tcPr>
            <w:tcW w:type="dxa" w:w="1152"/>
            <w:vAlign w:val="top"/>
          </w:tcPr>
          <w:p>
            <w:r/>
            <w:r>
              <w:rPr>
                <w:b w:val="0"/>
                <w:color w:val="0F172A"/>
                <w:sz w:val="15"/>
              </w:rPr>
              <w:t>High</w:t>
            </w:r>
          </w:p>
        </w:tc>
        <w:tc>
          <w:tcPr>
            <w:tcW w:type="dxa" w:w="4320"/>
            <w:vAlign w:val="top"/>
          </w:tcPr>
          <w:p>
            <w:r/>
            <w:r>
              <w:rPr>
                <w:b w:val="0"/>
                <w:color w:val="0F172A"/>
                <w:sz w:val="15"/>
              </w:rPr>
              <w:t>Implement DPIA, encryption, access controls, penetration testing, incident response, and vendor due diligence.</w:t>
            </w:r>
          </w:p>
        </w:tc>
        <w:tc>
          <w:tcPr>
            <w:tcW w:type="dxa" w:w="1296"/>
            <w:vAlign w:val="top"/>
          </w:tcPr>
          <w:p>
            <w:r/>
            <w:r>
              <w:rPr>
                <w:b w:val="0"/>
                <w:color w:val="0F172A"/>
                <w:sz w:val="15"/>
              </w:rPr>
              <w:t>Medium</w:t>
            </w:r>
          </w:p>
        </w:tc>
      </w:tr>
      <w:tr>
        <w:tc>
          <w:tcPr>
            <w:tcW w:type="dxa" w:w="2592"/>
            <w:vAlign w:val="top"/>
          </w:tcPr>
          <w:p>
            <w:r/>
            <w:r>
              <w:rPr>
                <w:b w:val="0"/>
                <w:color w:val="0F172A"/>
                <w:sz w:val="15"/>
              </w:rPr>
              <w:t>Grant compliance failure</w:t>
            </w:r>
          </w:p>
        </w:tc>
        <w:tc>
          <w:tcPr>
            <w:tcW w:type="dxa" w:w="1152"/>
            <w:vAlign w:val="top"/>
          </w:tcPr>
          <w:p>
            <w:r/>
            <w:r>
              <w:rPr>
                <w:b w:val="0"/>
                <w:color w:val="0F172A"/>
                <w:sz w:val="15"/>
              </w:rPr>
              <w:t>Medium</w:t>
            </w:r>
          </w:p>
        </w:tc>
        <w:tc>
          <w:tcPr>
            <w:tcW w:type="dxa" w:w="1152"/>
            <w:vAlign w:val="top"/>
          </w:tcPr>
          <w:p>
            <w:r/>
            <w:r>
              <w:rPr>
                <w:b w:val="0"/>
                <w:color w:val="0F172A"/>
                <w:sz w:val="15"/>
              </w:rPr>
              <w:t>High</w:t>
            </w:r>
          </w:p>
        </w:tc>
        <w:tc>
          <w:tcPr>
            <w:tcW w:type="dxa" w:w="4320"/>
            <w:vAlign w:val="top"/>
          </w:tcPr>
          <w:p>
            <w:r/>
            <w:r>
              <w:rPr>
                <w:b w:val="0"/>
                <w:color w:val="0F172A"/>
                <w:sz w:val="15"/>
              </w:rPr>
              <w:t>Set up procurement policy, timesheets, segregation of duties, document retention, and audit trail.</w:t>
            </w:r>
          </w:p>
        </w:tc>
        <w:tc>
          <w:tcPr>
            <w:tcW w:type="dxa" w:w="1296"/>
            <w:vAlign w:val="top"/>
          </w:tcPr>
          <w:p>
            <w:r/>
            <w:r>
              <w:rPr>
                <w:b w:val="0"/>
                <w:color w:val="0F172A"/>
                <w:sz w:val="15"/>
              </w:rPr>
              <w:t>Low-Medium</w:t>
            </w:r>
          </w:p>
        </w:tc>
      </w:tr>
    </w:tbl>
    <w:p>
      <w:pPr>
        <w:pStyle w:val="Heading1"/>
      </w:pPr>
      <w:r>
        <w:t>13. Compliance Statement</w:t>
      </w:r>
    </w:p>
    <w:p>
      <w:r>
        <w:rPr>
          <w:b w:val="0"/>
        </w:rPr>
        <w:t>The applicant will establish procurement, conflict-of-interest, timesheet, cost allocation, anti-lobbying, data protection, cybersecurity, AML/KYC screening, sanctions screening, claims review, and document retention procedures before incurring grant-funded costs. A legal review is required before any transaction facilitation or claims language is used.</w:t>
      </w:r>
    </w:p>
    <w:p>
      <w:pPr>
        <w:pStyle w:val="Heading2"/>
      </w:pPr>
      <w:r>
        <w:t>Source Notes</w:t>
      </w:r>
    </w:p>
    <w:p>
      <w:r>
        <w:rPr>
          <w:b w:val="0"/>
        </w:rPr>
        <w:t>Source documents reviewed:</w:t>
      </w:r>
    </w:p>
    <w:p>
      <w:pPr>
        <w:pStyle w:val="ListBullet"/>
      </w:pPr>
      <w:r>
        <w:t>retirement_idea.docx - concept plan for a global marketplace for carbon credits and sustainability initiatives</w:t>
      </w:r>
    </w:p>
    <w:p>
      <w:pPr>
        <w:pStyle w:val="ListBullet"/>
      </w:pPr>
      <w:r>
        <w:t>retirement_plan.docx - comprehensive business plan for EcoConnect Global Ltd.</w:t>
      </w:r>
    </w:p>
    <w:p>
      <w:pPr>
        <w:pStyle w:val="ListBullet"/>
      </w:pPr>
      <w:r>
        <w:t>retirement_funds_request.docx - detailed $50 million investor-oriented use of funds</w:t>
      </w:r>
    </w:p>
    <w:p>
      <w:r>
        <w:rPr>
          <w:b w:val="0"/>
        </w:rPr>
        <w:t>External market and compliance sources used for sanity-checking and grant framing:</w:t>
      </w:r>
    </w:p>
    <w:p>
      <w:pPr>
        <w:pStyle w:val="ListBullet"/>
      </w:pPr>
      <w:r>
        <w:t>World Bank - State and Trends of Carbon Pricing: https://www.worldbank.org/en/publication/state-and-trends-of-carbon-pricing</w:t>
      </w:r>
    </w:p>
    <w:p>
      <w:pPr>
        <w:pStyle w:val="ListBullet"/>
      </w:pPr>
      <w:r>
        <w:t>Ecosystem Marketplace - 2024 State of the Voluntary Carbon Market / market contraction article: https://www.ecosystemmarketplace.com/articles/report-the-voluntary-carbon-market-contracted-in-2023-driven-by-drop-off-in-transactions-for-redd-and-renewable-energy/</w:t>
      </w:r>
    </w:p>
    <w:p>
      <w:pPr>
        <w:pStyle w:val="ListBullet"/>
      </w:pPr>
      <w:r>
        <w:t>ICVCM - Core Carbon Principles and Assessment Framework: https://icvcm.org/wp-content/uploads/2024/02/CCP-Book-V1.1-FINAL-LowRes-15May24.pdf</w:t>
      </w:r>
    </w:p>
    <w:p>
      <w:pPr>
        <w:pStyle w:val="ListBullet"/>
      </w:pPr>
      <w:r>
        <w:t>VCMI - Claims Code of Practice and MRA framework: https://vcmintegrity.org/vcmi-claims-code-of-practice/</w:t>
      </w:r>
    </w:p>
    <w:p>
      <w:pPr>
        <w:pStyle w:val="ListBullet"/>
      </w:pPr>
      <w:r>
        <w:t>U.S. Treasury - Voluntary Carbon Markets Joint Policy Statement and Principles: https://home.treasury.gov/system/files/136/VCM-Joint-Policy-Statement-and-Principles.pdf</w:t>
      </w:r>
    </w:p>
    <w:p>
      <w:pPr>
        <w:pStyle w:val="ListBullet"/>
      </w:pPr>
      <w:r>
        <w:t>European Commission - Corporate sustainability reporting / CSRD: https://finance.ec.europa.eu/financial-markets/company-reporting-and-auditing/company-reporting/corporate-sustainability-reporting_en</w:t>
      </w:r>
    </w:p>
    <w:p>
      <w:pPr>
        <w:pStyle w:val="ListBullet"/>
      </w:pPr>
      <w:r>
        <w:t>European Commission - EU Emissions Trading System: https://climate.ec.europa.eu/eu-action/carbon-markets/eu-emissions-trading-system-eu-ets_en</w:t>
      </w:r>
    </w:p>
    <w:p>
      <w:pPr>
        <w:pStyle w:val="ListBullet"/>
      </w:pPr>
      <w:r>
        <w:t>GOV.UK - Environmental reporting guidelines including SECR: https://www.gov.uk/government/publications/environmental-reporting-guidelines-including-mandatory-greenhouse-gas-emissions-reporting-guidance</w:t>
      </w:r>
    </w:p>
    <w:sectPr w:rsidR="00FC693F" w:rsidRPr="0006063C" w:rsidSect="00034616">
      <w:headerReference w:type="default" r:id="rId9"/>
      <w:footerReference w:type="default" r:id="rId10"/>
      <w:pgSz w:w="12240" w:h="15840"/>
      <w:pgMar w:top="1008"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EcoConnect Global Ltd. | Grant-ready draft | May 19,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748B"/>
        <w:sz w:val="16"/>
      </w:rPr>
      <w:t>Grant Application Narrative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766E"/>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34E4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334155"/>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