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28"/>
        </w:rPr>
        <w:t>EcoConnect Global Ltd.</w:t>
      </w:r>
    </w:p>
    <w:p>
      <w:pPr>
        <w:jc w:val="center"/>
      </w:pPr>
      <w:r>
        <w:rPr>
          <w:b/>
          <w:color w:val="0F172A"/>
          <w:sz w:val="52"/>
        </w:rPr>
        <w:t>Full Business Plan</w:t>
      </w:r>
    </w:p>
    <w:p>
      <w:pPr>
        <w:jc w:val="center"/>
      </w:pPr>
      <w:r>
        <w:rPr>
          <w:color w:val="475569"/>
          <w:sz w:val="24"/>
        </w:rPr>
        <w:t>Transparent, data-driven marketplace infrastructure for verified carbon credits</w:t>
      </w:r>
    </w:p>
    <w:p>
      <w:pPr>
        <w:jc w:val="center"/>
      </w:pPr>
      <w:r>
        <w:rPr>
          <w:i/>
          <w:color w:val="64748B"/>
          <w:sz w:val="20"/>
        </w:rPr>
        <w:t>Government Grant and Funding Application Package</w:t>
      </w:r>
    </w:p>
    <w:p/>
    <w:p>
      <w:pPr>
        <w:jc w:val="center"/>
      </w:pPr>
      <w:r>
        <w:rPr>
          <w:color w:val="64748B"/>
          <w:sz w:val="20"/>
        </w:rPr>
        <w:t>Prepared: May 19, 2026</w:t>
      </w:r>
    </w:p>
    <w:p/>
    <w:tbl>
      <w:tblPr>
        <w:tblW w:type="auto" w:w="0"/>
        <w:jc w:val="center"/>
        <w:tblLook w:firstColumn="1" w:firstRow="1" w:lastColumn="0" w:lastRow="0" w:noHBand="0" w:noVBand="1" w:val="04A0"/>
      </w:tblPr>
      <w:tblGrid>
        <w:gridCol w:w="10080"/>
      </w:tblGrid>
      <w:tr>
        <w:tc>
          <w:tcPr>
            <w:tcW w:type="dxa" w:w="10080"/>
            <w:shd w:fill="F0FDFA"/>
          </w:tcPr>
          <w:p>
            <w:pPr>
              <w:jc w:val="center"/>
            </w:pPr>
            <w:r/>
            <w:r>
              <w:rPr>
                <w:color w:val="0F766E"/>
                <w:sz w:val="20"/>
              </w:rPr>
              <w:t>Draft status: grant-ready structure with explicit placeholders. Final submission requires applicant verification, legal review, program-specific eligibility review, and replacement of all missing data.</w:t>
            </w:r>
          </w:p>
        </w:tc>
      </w:tr>
    </w:tbl>
    <w:p>
      <w:r>
        <w:br w:type="page"/>
      </w:r>
    </w:p>
    <w:p>
      <w:pPr>
        <w:pStyle w:val="Heading1"/>
      </w:pPr>
      <w:r>
        <w:t>Document Control and Assumptions</w:t>
      </w:r>
    </w:p>
    <w:tbl>
      <w:tblPr>
        <w:tblStyle w:val="TableGrid"/>
        <w:tblW w:type="auto" w:w="0"/>
        <w:jc w:val="center"/>
        <w:tblLook w:firstColumn="1" w:firstRow="1" w:lastColumn="0" w:lastRow="0" w:noHBand="0" w:noVBand="1" w:val="04A0"/>
      </w:tblPr>
      <w:tblGrid>
        <w:gridCol w:w="5040"/>
        <w:gridCol w:w="5040"/>
      </w:tblGrid>
      <w:tr>
        <w:tc>
          <w:tcPr>
            <w:tcW w:type="dxa" w:w="3024"/>
            <w:vAlign w:val="top"/>
            <w:shd w:fill="0F766E"/>
          </w:tcPr>
          <w:p>
            <w:r/>
            <w:r>
              <w:rPr>
                <w:b/>
                <w:color w:val="FFFFFF"/>
                <w:sz w:val="17"/>
              </w:rPr>
              <w:t>Item</w:t>
            </w:r>
          </w:p>
        </w:tc>
        <w:tc>
          <w:tcPr>
            <w:tcW w:type="dxa" w:w="8064"/>
            <w:vAlign w:val="top"/>
            <w:shd w:fill="0F766E"/>
          </w:tcPr>
          <w:p>
            <w:r/>
            <w:r>
              <w:rPr>
                <w:b/>
                <w:color w:val="FFFFFF"/>
                <w:sz w:val="17"/>
              </w:rPr>
              <w:t>Current Position</w:t>
            </w:r>
          </w:p>
        </w:tc>
      </w:tr>
      <w:tr>
        <w:tc>
          <w:tcPr>
            <w:tcW w:type="dxa" w:w="3024"/>
            <w:vAlign w:val="top"/>
          </w:tcPr>
          <w:p>
            <w:r/>
            <w:r>
              <w:rPr>
                <w:b w:val="0"/>
                <w:color w:val="0F172A"/>
                <w:sz w:val="17"/>
              </w:rPr>
              <w:t>Grant request</w:t>
            </w:r>
          </w:p>
        </w:tc>
        <w:tc>
          <w:tcPr>
            <w:tcW w:type="dxa" w:w="8064"/>
            <w:vAlign w:val="top"/>
          </w:tcPr>
          <w:p>
            <w:r/>
            <w:r>
              <w:rPr>
                <w:b w:val="0"/>
                <w:color w:val="0F172A"/>
                <w:sz w:val="17"/>
              </w:rPr>
              <w:t>$5,000,000 for a 24-month Phase 1 pilot</w:t>
            </w:r>
          </w:p>
        </w:tc>
      </w:tr>
      <w:tr>
        <w:tc>
          <w:tcPr>
            <w:tcW w:type="dxa" w:w="3024"/>
            <w:vAlign w:val="top"/>
          </w:tcPr>
          <w:p>
            <w:r/>
            <w:r>
              <w:rPr>
                <w:b w:val="0"/>
                <w:color w:val="0F172A"/>
                <w:sz w:val="17"/>
              </w:rPr>
              <w:t>Applicant match</w:t>
            </w:r>
          </w:p>
        </w:tc>
        <w:tc>
          <w:tcPr>
            <w:tcW w:type="dxa" w:w="8064"/>
            <w:vAlign w:val="top"/>
          </w:tcPr>
          <w:p>
            <w:r/>
            <w:r>
              <w:rPr>
                <w:b w:val="0"/>
                <w:color w:val="0F172A"/>
                <w:sz w:val="17"/>
              </w:rPr>
              <w:t>$1,250,000 cash/in-kind placeholder, subject to program rules</w:t>
            </w:r>
          </w:p>
        </w:tc>
      </w:tr>
      <w:tr>
        <w:tc>
          <w:tcPr>
            <w:tcW w:type="dxa" w:w="3024"/>
            <w:vAlign w:val="top"/>
          </w:tcPr>
          <w:p>
            <w:r/>
            <w:r>
              <w:rPr>
                <w:b w:val="0"/>
                <w:color w:val="0F172A"/>
                <w:sz w:val="17"/>
              </w:rPr>
              <w:t>Total Phase 1 budget</w:t>
            </w:r>
          </w:p>
        </w:tc>
        <w:tc>
          <w:tcPr>
            <w:tcW w:type="dxa" w:w="8064"/>
            <w:vAlign w:val="top"/>
          </w:tcPr>
          <w:p>
            <w:r/>
            <w:r>
              <w:rPr>
                <w:b w:val="0"/>
                <w:color w:val="0F172A"/>
                <w:sz w:val="17"/>
              </w:rPr>
              <w:t>$6,250,000</w:t>
            </w:r>
          </w:p>
        </w:tc>
      </w:tr>
      <w:tr>
        <w:tc>
          <w:tcPr>
            <w:tcW w:type="dxa" w:w="3024"/>
            <w:vAlign w:val="top"/>
          </w:tcPr>
          <w:p>
            <w:r/>
            <w:r>
              <w:rPr>
                <w:b w:val="0"/>
                <w:color w:val="0F172A"/>
                <w:sz w:val="17"/>
              </w:rPr>
              <w:t>Original source request</w:t>
            </w:r>
          </w:p>
        </w:tc>
        <w:tc>
          <w:tcPr>
            <w:tcW w:type="dxa" w:w="8064"/>
            <w:vAlign w:val="top"/>
          </w:tcPr>
          <w:p>
            <w:r/>
            <w:r>
              <w:rPr>
                <w:b w:val="0"/>
                <w:color w:val="0F172A"/>
                <w:sz w:val="17"/>
              </w:rPr>
              <w:t>$50,000,000 investor-style financing; not used as the grant ask</w:t>
            </w:r>
          </w:p>
        </w:tc>
      </w:tr>
      <w:tr>
        <w:tc>
          <w:tcPr>
            <w:tcW w:type="dxa" w:w="3024"/>
            <w:vAlign w:val="top"/>
          </w:tcPr>
          <w:p>
            <w:r/>
            <w:r>
              <w:rPr>
                <w:b w:val="0"/>
                <w:color w:val="0F172A"/>
                <w:sz w:val="17"/>
              </w:rPr>
              <w:t>Project start</w:t>
            </w:r>
          </w:p>
        </w:tc>
        <w:tc>
          <w:tcPr>
            <w:tcW w:type="dxa" w:w="8064"/>
            <w:vAlign w:val="top"/>
          </w:tcPr>
          <w:p>
            <w:r/>
            <w:r>
              <w:rPr>
                <w:b w:val="0"/>
                <w:color w:val="0F172A"/>
                <w:sz w:val="17"/>
              </w:rPr>
              <w:t>Placeholder: July 1, 2026</w:t>
            </w:r>
          </w:p>
        </w:tc>
      </w:tr>
      <w:tr>
        <w:tc>
          <w:tcPr>
            <w:tcW w:type="dxa" w:w="3024"/>
            <w:vAlign w:val="top"/>
          </w:tcPr>
          <w:p>
            <w:r/>
            <w:r>
              <w:rPr>
                <w:b w:val="0"/>
                <w:color w:val="0F172A"/>
                <w:sz w:val="17"/>
              </w:rPr>
              <w:t>Legal status</w:t>
            </w:r>
          </w:p>
        </w:tc>
        <w:tc>
          <w:tcPr>
            <w:tcW w:type="dxa" w:w="8064"/>
            <w:vAlign w:val="top"/>
          </w:tcPr>
          <w:p>
            <w:r/>
            <w:r>
              <w:rPr>
                <w:b w:val="0"/>
                <w:color w:val="0F172A"/>
                <w:sz w:val="17"/>
              </w:rPr>
              <w:t>To be confirmed; source says private limited company, but evidence is missing</w:t>
            </w:r>
          </w:p>
        </w:tc>
      </w:tr>
      <w:tr>
        <w:tc>
          <w:tcPr>
            <w:tcW w:type="dxa" w:w="3024"/>
            <w:vAlign w:val="top"/>
          </w:tcPr>
          <w:p>
            <w:r/>
            <w:r>
              <w:rPr>
                <w:b w:val="0"/>
                <w:color w:val="0F172A"/>
                <w:sz w:val="17"/>
              </w:rPr>
              <w:t>Jurisdiction</w:t>
            </w:r>
          </w:p>
        </w:tc>
        <w:tc>
          <w:tcPr>
            <w:tcW w:type="dxa" w:w="8064"/>
            <w:vAlign w:val="top"/>
          </w:tcPr>
          <w:p>
            <w:r/>
            <w:r>
              <w:rPr>
                <w:b w:val="0"/>
                <w:color w:val="0F172A"/>
                <w:sz w:val="17"/>
              </w:rPr>
              <w:t>To be confirmed; source references London HQ and a Kosovo contact address</w:t>
            </w:r>
          </w:p>
        </w:tc>
      </w:tr>
      <w:tr>
        <w:tc>
          <w:tcPr>
            <w:tcW w:type="dxa" w:w="3024"/>
            <w:vAlign w:val="top"/>
          </w:tcPr>
          <w:p>
            <w:r/>
            <w:r>
              <w:rPr>
                <w:b w:val="0"/>
                <w:color w:val="0F172A"/>
                <w:sz w:val="17"/>
              </w:rPr>
              <w:t>Market model</w:t>
            </w:r>
          </w:p>
        </w:tc>
        <w:tc>
          <w:tcPr>
            <w:tcW w:type="dxa" w:w="8064"/>
            <w:vAlign w:val="top"/>
          </w:tcPr>
          <w:p>
            <w:r/>
            <w:r>
              <w:rPr>
                <w:b w:val="0"/>
                <w:color w:val="0F172A"/>
                <w:sz w:val="17"/>
              </w:rPr>
              <w:t>Conservative base case; original Year 5 revenue projections are treated as unvalidated upside</w:t>
            </w:r>
          </w:p>
        </w:tc>
      </w:tr>
      <w:tr>
        <w:tc>
          <w:tcPr>
            <w:tcW w:type="dxa" w:w="3024"/>
            <w:vAlign w:val="top"/>
          </w:tcPr>
          <w:p>
            <w:r/>
            <w:r>
              <w:rPr>
                <w:b w:val="0"/>
                <w:color w:val="0F172A"/>
                <w:sz w:val="17"/>
              </w:rPr>
              <w:t>Impact claims</w:t>
            </w:r>
          </w:p>
        </w:tc>
        <w:tc>
          <w:tcPr>
            <w:tcW w:type="dxa" w:w="8064"/>
            <w:vAlign w:val="top"/>
          </w:tcPr>
          <w:p>
            <w:r/>
            <w:r>
              <w:rPr>
                <w:b w:val="0"/>
                <w:color w:val="0F172A"/>
                <w:sz w:val="17"/>
              </w:rPr>
              <w:t>Credit retirements, emissions outcomes, and claims must be verified before being reported as climate impact</w:t>
            </w:r>
          </w:p>
        </w:tc>
      </w:tr>
    </w:tbl>
    <w:p>
      <w:pPr>
        <w:pStyle w:val="Heading1"/>
      </w:pPr>
      <w:r>
        <w:t>Deep Diagnostic Report</w:t>
      </w:r>
    </w:p>
    <w:p>
      <w:r>
        <w:rPr>
          <w:b/>
        </w:rPr>
        <w:t>Overall conclusion:</w:t>
      </w:r>
    </w:p>
    <w:p>
      <w:r>
        <w:rPr>
          <w:b w:val="0"/>
        </w:rPr>
        <w:t>The source material contains a promising climate-tech concept, but in its current form it would likely underperform in a government grant review because it reads as an investor pitch for a high-growth private venture rather than a public-benefit, evidence-based, accountable grant project. The corrective strategy is to preserve the core project - a transparent carbon credit marketplace and reporting infrastructure - while narrowing the funding request to a 24-month pilot with verifiable outputs, stronger compliance controls, and explicit public-interest outcomes.</w:t>
      </w:r>
    </w:p>
    <w:p>
      <w:r>
        <w:rPr>
          <w:b w:val="0"/>
        </w:rPr>
        <w:t>Original grant readiness score: 34/100. After the restructuring used in these files: 62/100. The score can move above 80 only after the missing eligibility, partner, legal, financial, and market-validation evidence is added.</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1944"/>
            <w:vAlign w:val="top"/>
            <w:shd w:fill="0F766E"/>
          </w:tcPr>
          <w:p>
            <w:r/>
            <w:r>
              <w:rPr>
                <w:b/>
                <w:color w:val="FFFFFF"/>
                <w:sz w:val="15"/>
              </w:rPr>
              <w:t>Issue</w:t>
            </w:r>
          </w:p>
        </w:tc>
        <w:tc>
          <w:tcPr>
            <w:tcW w:type="dxa" w:w="3024"/>
            <w:vAlign w:val="top"/>
            <w:shd w:fill="0F766E"/>
          </w:tcPr>
          <w:p>
            <w:r/>
            <w:r>
              <w:rPr>
                <w:b/>
                <w:color w:val="FFFFFF"/>
                <w:sz w:val="15"/>
              </w:rPr>
              <w:t>Evidence from source files</w:t>
            </w:r>
          </w:p>
        </w:tc>
        <w:tc>
          <w:tcPr>
            <w:tcW w:type="dxa" w:w="2880"/>
            <w:vAlign w:val="top"/>
            <w:shd w:fill="0F766E"/>
          </w:tcPr>
          <w:p>
            <w:r/>
            <w:r>
              <w:rPr>
                <w:b/>
                <w:color w:val="FFFFFF"/>
                <w:sz w:val="15"/>
              </w:rPr>
              <w:t>Grant-review risk</w:t>
            </w:r>
          </w:p>
        </w:tc>
        <w:tc>
          <w:tcPr>
            <w:tcW w:type="dxa" w:w="3024"/>
            <w:vAlign w:val="top"/>
            <w:shd w:fill="0F766E"/>
          </w:tcPr>
          <w:p>
            <w:r/>
            <w:r>
              <w:rPr>
                <w:b/>
                <w:color w:val="FFFFFF"/>
                <w:sz w:val="15"/>
              </w:rPr>
              <w:t>Recommended correction</w:t>
            </w:r>
          </w:p>
        </w:tc>
      </w:tr>
      <w:tr>
        <w:tc>
          <w:tcPr>
            <w:tcW w:type="dxa" w:w="1944"/>
            <w:vAlign w:val="top"/>
          </w:tcPr>
          <w:p>
            <w:r/>
            <w:r>
              <w:rPr>
                <w:b w:val="0"/>
                <w:color w:val="0F172A"/>
                <w:sz w:val="15"/>
              </w:rPr>
              <w:t>Investor framing</w:t>
            </w:r>
          </w:p>
        </w:tc>
        <w:tc>
          <w:tcPr>
            <w:tcW w:type="dxa" w:w="3024"/>
            <w:vAlign w:val="top"/>
          </w:tcPr>
          <w:p>
            <w:r/>
            <w:r>
              <w:rPr>
                <w:b w:val="0"/>
                <w:color w:val="0F172A"/>
                <w:sz w:val="15"/>
              </w:rPr>
              <w:t>Funding materials request $50M as an investment with equity, board rights, ROI, IPO, and acquisition exit.</w:t>
            </w:r>
          </w:p>
        </w:tc>
        <w:tc>
          <w:tcPr>
            <w:tcW w:type="dxa" w:w="2880"/>
            <w:vAlign w:val="top"/>
          </w:tcPr>
          <w:p>
            <w:r/>
            <w:r>
              <w:rPr>
                <w:b w:val="0"/>
                <w:color w:val="0F172A"/>
                <w:sz w:val="15"/>
              </w:rPr>
              <w:t>A government grant reviewer may reject this as private investor financing rather than public-benefit funding.</w:t>
            </w:r>
          </w:p>
        </w:tc>
        <w:tc>
          <w:tcPr>
            <w:tcW w:type="dxa" w:w="3024"/>
            <w:vAlign w:val="top"/>
          </w:tcPr>
          <w:p>
            <w:r/>
            <w:r>
              <w:rPr>
                <w:b w:val="0"/>
                <w:color w:val="0F172A"/>
                <w:sz w:val="15"/>
              </w:rPr>
              <w:t>Reframe as a non-dilutive 24-month pilot with public-benefit outputs, no equity, and no investor return.</w:t>
            </w:r>
          </w:p>
        </w:tc>
      </w:tr>
      <w:tr>
        <w:tc>
          <w:tcPr>
            <w:tcW w:type="dxa" w:w="1944"/>
            <w:vAlign w:val="top"/>
          </w:tcPr>
          <w:p>
            <w:r/>
            <w:r>
              <w:rPr>
                <w:b w:val="0"/>
                <w:color w:val="0F172A"/>
                <w:sz w:val="15"/>
              </w:rPr>
              <w:t>Conflicting financial projections</w:t>
            </w:r>
          </w:p>
        </w:tc>
        <w:tc>
          <w:tcPr>
            <w:tcW w:type="dxa" w:w="3024"/>
            <w:vAlign w:val="top"/>
          </w:tcPr>
          <w:p>
            <w:r/>
            <w:r>
              <w:rPr>
                <w:b w:val="0"/>
                <w:color w:val="0F172A"/>
                <w:sz w:val="15"/>
              </w:rPr>
              <w:t>The idea document uses Year 5 revenue of $155M and Year 10 revenue of $645M; the plan/funding request use Year 5 revenue of $120M and Year 10 revenue of $500M.</w:t>
            </w:r>
          </w:p>
        </w:tc>
        <w:tc>
          <w:tcPr>
            <w:tcW w:type="dxa" w:w="2880"/>
            <w:vAlign w:val="top"/>
          </w:tcPr>
          <w:p>
            <w:r/>
            <w:r>
              <w:rPr>
                <w:b w:val="0"/>
                <w:color w:val="0F172A"/>
                <w:sz w:val="15"/>
              </w:rPr>
              <w:t>Inconsistent numbers reduce credibility and suggest weak financial controls.</w:t>
            </w:r>
          </w:p>
        </w:tc>
        <w:tc>
          <w:tcPr>
            <w:tcW w:type="dxa" w:w="3024"/>
            <w:vAlign w:val="top"/>
          </w:tcPr>
          <w:p>
            <w:r/>
            <w:r>
              <w:rPr>
                <w:b w:val="0"/>
                <w:color w:val="0F172A"/>
                <w:sz w:val="15"/>
              </w:rPr>
              <w:t>Use one base-case model; label original high-growth case as upside only.</w:t>
            </w:r>
          </w:p>
        </w:tc>
      </w:tr>
      <w:tr>
        <w:tc>
          <w:tcPr>
            <w:tcW w:type="dxa" w:w="1944"/>
            <w:vAlign w:val="top"/>
          </w:tcPr>
          <w:p>
            <w:r/>
            <w:r>
              <w:rPr>
                <w:b w:val="0"/>
                <w:color w:val="0F172A"/>
                <w:sz w:val="15"/>
              </w:rPr>
              <w:t>Unsupported market-size claims</w:t>
            </w:r>
          </w:p>
        </w:tc>
        <w:tc>
          <w:tcPr>
            <w:tcW w:type="dxa" w:w="3024"/>
            <w:vAlign w:val="top"/>
          </w:tcPr>
          <w:p>
            <w:r/>
            <w:r>
              <w:rPr>
                <w:b w:val="0"/>
                <w:color w:val="0F172A"/>
                <w:sz w:val="15"/>
              </w:rPr>
              <w:t>The files cite $300B by 2030 and $600B by 2027 without a source or reconciliation.</w:t>
            </w:r>
          </w:p>
        </w:tc>
        <w:tc>
          <w:tcPr>
            <w:tcW w:type="dxa" w:w="2880"/>
            <w:vAlign w:val="top"/>
          </w:tcPr>
          <w:p>
            <w:r/>
            <w:r>
              <w:rPr>
                <w:b w:val="0"/>
                <w:color w:val="0F172A"/>
                <w:sz w:val="15"/>
              </w:rPr>
              <w:t>Reviewers may view the market case as inflated or copied from generic research.</w:t>
            </w:r>
          </w:p>
        </w:tc>
        <w:tc>
          <w:tcPr>
            <w:tcW w:type="dxa" w:w="3024"/>
            <w:vAlign w:val="top"/>
          </w:tcPr>
          <w:p>
            <w:r/>
            <w:r>
              <w:rPr>
                <w:b w:val="0"/>
                <w:color w:val="0F172A"/>
                <w:sz w:val="15"/>
              </w:rPr>
              <w:t>Use current sources and distinguish compliance carbon markets from the smaller voluntary credit market.</w:t>
            </w:r>
          </w:p>
        </w:tc>
      </w:tr>
      <w:tr>
        <w:tc>
          <w:tcPr>
            <w:tcW w:type="dxa" w:w="1944"/>
            <w:vAlign w:val="top"/>
          </w:tcPr>
          <w:p>
            <w:r/>
            <w:r>
              <w:rPr>
                <w:b w:val="0"/>
                <w:color w:val="0F172A"/>
                <w:sz w:val="15"/>
              </w:rPr>
              <w:t>Overstated market share</w:t>
            </w:r>
          </w:p>
        </w:tc>
        <w:tc>
          <w:tcPr>
            <w:tcW w:type="dxa" w:w="3024"/>
            <w:vAlign w:val="top"/>
          </w:tcPr>
          <w:p>
            <w:r/>
            <w:r>
              <w:rPr>
                <w:b w:val="0"/>
                <w:color w:val="0F172A"/>
                <w:sz w:val="15"/>
              </w:rPr>
              <w:t>Source material assumes 1% of a $300B market by Year 5 and 5% by Year 10.</w:t>
            </w:r>
          </w:p>
        </w:tc>
        <w:tc>
          <w:tcPr>
            <w:tcW w:type="dxa" w:w="2880"/>
            <w:vAlign w:val="top"/>
          </w:tcPr>
          <w:p>
            <w:r/>
            <w:r>
              <w:rPr>
                <w:b w:val="0"/>
                <w:color w:val="0F172A"/>
                <w:sz w:val="15"/>
              </w:rPr>
              <w:t>This is not credible for an unproven startup with no named customers or partners.</w:t>
            </w:r>
          </w:p>
        </w:tc>
        <w:tc>
          <w:tcPr>
            <w:tcW w:type="dxa" w:w="3024"/>
            <w:vAlign w:val="top"/>
          </w:tcPr>
          <w:p>
            <w:r/>
            <w:r>
              <w:rPr>
                <w:b w:val="0"/>
                <w:color w:val="0F172A"/>
                <w:sz w:val="15"/>
              </w:rPr>
              <w:t>Model pilot adoption, paying customers, GMV, and conversion rates from signed LOIs.</w:t>
            </w:r>
          </w:p>
        </w:tc>
      </w:tr>
      <w:tr>
        <w:tc>
          <w:tcPr>
            <w:tcW w:type="dxa" w:w="1944"/>
            <w:vAlign w:val="top"/>
          </w:tcPr>
          <w:p>
            <w:r/>
            <w:r>
              <w:rPr>
                <w:b w:val="0"/>
                <w:color w:val="0F172A"/>
                <w:sz w:val="15"/>
              </w:rPr>
              <w:t>Certification overclaiming</w:t>
            </w:r>
          </w:p>
        </w:tc>
        <w:tc>
          <w:tcPr>
            <w:tcW w:type="dxa" w:w="3024"/>
            <w:vAlign w:val="top"/>
          </w:tcPr>
          <w:p>
            <w:r/>
            <w:r>
              <w:rPr>
                <w:b w:val="0"/>
                <w:color w:val="0F172A"/>
                <w:sz w:val="15"/>
              </w:rPr>
              <w:t>The documents say EcoConnect will provide verification and certification services.</w:t>
            </w:r>
          </w:p>
        </w:tc>
        <w:tc>
          <w:tcPr>
            <w:tcW w:type="dxa" w:w="2880"/>
            <w:vAlign w:val="top"/>
          </w:tcPr>
          <w:p>
            <w:r/>
            <w:r>
              <w:rPr>
                <w:b w:val="0"/>
                <w:color w:val="0F172A"/>
                <w:sz w:val="15"/>
              </w:rPr>
              <w:t>Carbon credit certification is regulated/standard-specific and cannot be casually claimed by a startup marketplace.</w:t>
            </w:r>
          </w:p>
        </w:tc>
        <w:tc>
          <w:tcPr>
            <w:tcW w:type="dxa" w:w="3024"/>
            <w:vAlign w:val="top"/>
          </w:tcPr>
          <w:p>
            <w:r/>
            <w:r>
              <w:rPr>
                <w:b w:val="0"/>
                <w:color w:val="0F172A"/>
                <w:sz w:val="15"/>
              </w:rPr>
              <w:t>Position EcoConnect as diligence, scoring, documentation, and reporting support unless accredited partnerships are secured.</w:t>
            </w:r>
          </w:p>
        </w:tc>
      </w:tr>
      <w:tr>
        <w:tc>
          <w:tcPr>
            <w:tcW w:type="dxa" w:w="1944"/>
            <w:vAlign w:val="top"/>
          </w:tcPr>
          <w:p>
            <w:r/>
            <w:r>
              <w:rPr>
                <w:b w:val="0"/>
                <w:color w:val="0F172A"/>
                <w:sz w:val="15"/>
              </w:rPr>
              <w:t>Missing applicant eligibility</w:t>
            </w:r>
          </w:p>
        </w:tc>
        <w:tc>
          <w:tcPr>
            <w:tcW w:type="dxa" w:w="3024"/>
            <w:vAlign w:val="top"/>
          </w:tcPr>
          <w:p>
            <w:r/>
            <w:r>
              <w:rPr>
                <w:b w:val="0"/>
                <w:color w:val="0F172A"/>
                <w:sz w:val="15"/>
              </w:rPr>
              <w:t>No proof of incorporation, tax status, beneficial ownership, bank account, or grant eligibility is included.</w:t>
            </w:r>
          </w:p>
        </w:tc>
        <w:tc>
          <w:tcPr>
            <w:tcW w:type="dxa" w:w="2880"/>
            <w:vAlign w:val="top"/>
          </w:tcPr>
          <w:p>
            <w:r/>
            <w:r>
              <w:rPr>
                <w:b w:val="0"/>
                <w:color w:val="0F172A"/>
                <w:sz w:val="15"/>
              </w:rPr>
              <w:t>Administrative rejection before technical review.</w:t>
            </w:r>
          </w:p>
        </w:tc>
        <w:tc>
          <w:tcPr>
            <w:tcW w:type="dxa" w:w="3024"/>
            <w:vAlign w:val="top"/>
          </w:tcPr>
          <w:p>
            <w:r/>
            <w:r>
              <w:rPr>
                <w:b w:val="0"/>
                <w:color w:val="0F172A"/>
                <w:sz w:val="15"/>
              </w:rPr>
              <w:t>Complete legal entity, financial, tax, procurement, and ownership documentation.</w:t>
            </w:r>
          </w:p>
        </w:tc>
      </w:tr>
      <w:tr>
        <w:tc>
          <w:tcPr>
            <w:tcW w:type="dxa" w:w="1944"/>
            <w:vAlign w:val="top"/>
          </w:tcPr>
          <w:p>
            <w:r/>
            <w:r>
              <w:rPr>
                <w:b w:val="0"/>
                <w:color w:val="0F172A"/>
                <w:sz w:val="15"/>
              </w:rPr>
              <w:t>Location inconsistency</w:t>
            </w:r>
          </w:p>
        </w:tc>
        <w:tc>
          <w:tcPr>
            <w:tcW w:type="dxa" w:w="3024"/>
            <w:vAlign w:val="top"/>
          </w:tcPr>
          <w:p>
            <w:r/>
            <w:r>
              <w:rPr>
                <w:b w:val="0"/>
                <w:color w:val="0F172A"/>
                <w:sz w:val="15"/>
              </w:rPr>
              <w:t>Plan references London headquarters; contact information lists Banje, Malisheve.</w:t>
            </w:r>
          </w:p>
        </w:tc>
        <w:tc>
          <w:tcPr>
            <w:tcW w:type="dxa" w:w="2880"/>
            <w:vAlign w:val="top"/>
          </w:tcPr>
          <w:p>
            <w:r/>
            <w:r>
              <w:rPr>
                <w:b w:val="0"/>
                <w:color w:val="0F172A"/>
                <w:sz w:val="15"/>
              </w:rPr>
              <w:t>Jurisdiction affects eligibility, tax, data protection, procurement, and state-aid/subsidy rules.</w:t>
            </w:r>
          </w:p>
        </w:tc>
        <w:tc>
          <w:tcPr>
            <w:tcW w:type="dxa" w:w="3024"/>
            <w:vAlign w:val="top"/>
          </w:tcPr>
          <w:p>
            <w:r/>
            <w:r>
              <w:rPr>
                <w:b w:val="0"/>
                <w:color w:val="0F172A"/>
                <w:sz w:val="15"/>
              </w:rPr>
              <w:t>Choose the applicant jurisdiction and align all documents.</w:t>
            </w:r>
          </w:p>
        </w:tc>
      </w:tr>
      <w:tr>
        <w:tc>
          <w:tcPr>
            <w:tcW w:type="dxa" w:w="1944"/>
            <w:vAlign w:val="top"/>
          </w:tcPr>
          <w:p>
            <w:r/>
            <w:r>
              <w:rPr>
                <w:b w:val="0"/>
                <w:color w:val="0F172A"/>
                <w:sz w:val="15"/>
              </w:rPr>
              <w:t>No letters of support</w:t>
            </w:r>
          </w:p>
        </w:tc>
        <w:tc>
          <w:tcPr>
            <w:tcW w:type="dxa" w:w="3024"/>
            <w:vAlign w:val="top"/>
          </w:tcPr>
          <w:p>
            <w:r/>
            <w:r>
              <w:rPr>
                <w:b w:val="0"/>
                <w:color w:val="0F172A"/>
                <w:sz w:val="15"/>
              </w:rPr>
              <w:t>The source files name possible partners but include no signed commitments.</w:t>
            </w:r>
          </w:p>
        </w:tc>
        <w:tc>
          <w:tcPr>
            <w:tcW w:type="dxa" w:w="2880"/>
            <w:vAlign w:val="top"/>
          </w:tcPr>
          <w:p>
            <w:r/>
            <w:r>
              <w:rPr>
                <w:b w:val="0"/>
                <w:color w:val="0F172A"/>
                <w:sz w:val="15"/>
              </w:rPr>
              <w:t>Weak capacity and demand evidence.</w:t>
            </w:r>
          </w:p>
        </w:tc>
        <w:tc>
          <w:tcPr>
            <w:tcW w:type="dxa" w:w="3024"/>
            <w:vAlign w:val="top"/>
          </w:tcPr>
          <w:p>
            <w:r/>
            <w:r>
              <w:rPr>
                <w:b w:val="0"/>
                <w:color w:val="0F172A"/>
                <w:sz w:val="15"/>
              </w:rPr>
              <w:t>Secure LOIs from pilot buyers, registries/data providers, project developers, advisors, and evaluation partners.</w:t>
            </w:r>
          </w:p>
        </w:tc>
      </w:tr>
      <w:tr>
        <w:tc>
          <w:tcPr>
            <w:tcW w:type="dxa" w:w="1944"/>
            <w:vAlign w:val="top"/>
          </w:tcPr>
          <w:p>
            <w:r/>
            <w:r>
              <w:rPr>
                <w:b w:val="0"/>
                <w:color w:val="0F172A"/>
                <w:sz w:val="15"/>
              </w:rPr>
              <w:t>Weak public-benefit case</w:t>
            </w:r>
          </w:p>
        </w:tc>
        <w:tc>
          <w:tcPr>
            <w:tcW w:type="dxa" w:w="3024"/>
            <w:vAlign w:val="top"/>
          </w:tcPr>
          <w:p>
            <w:r/>
            <w:r>
              <w:rPr>
                <w:b w:val="0"/>
                <w:color w:val="0F172A"/>
                <w:sz w:val="15"/>
              </w:rPr>
              <w:t>The original documents focus on profit, valuation, market dominance, and investor returns.</w:t>
            </w:r>
          </w:p>
        </w:tc>
        <w:tc>
          <w:tcPr>
            <w:tcW w:type="dxa" w:w="2880"/>
            <w:vAlign w:val="top"/>
          </w:tcPr>
          <w:p>
            <w:r/>
            <w:r>
              <w:rPr>
                <w:b w:val="0"/>
                <w:color w:val="0F172A"/>
                <w:sz w:val="15"/>
              </w:rPr>
              <w:t>Government funding must justify public benefit, market failure, accountability, and measurable outcomes.</w:t>
            </w:r>
          </w:p>
        </w:tc>
        <w:tc>
          <w:tcPr>
            <w:tcW w:type="dxa" w:w="3024"/>
            <w:vAlign w:val="top"/>
          </w:tcPr>
          <w:p>
            <w:r/>
            <w:r>
              <w:rPr>
                <w:b w:val="0"/>
                <w:color w:val="0F172A"/>
                <w:sz w:val="15"/>
              </w:rPr>
              <w:t>Add SME access, transparency, public learning, independent evaluation, and economic development outcomes.</w:t>
            </w:r>
          </w:p>
        </w:tc>
      </w:tr>
      <w:tr>
        <w:tc>
          <w:tcPr>
            <w:tcW w:type="dxa" w:w="1944"/>
            <w:vAlign w:val="top"/>
          </w:tcPr>
          <w:p>
            <w:r/>
            <w:r>
              <w:rPr>
                <w:b w:val="0"/>
                <w:color w:val="0F172A"/>
                <w:sz w:val="15"/>
              </w:rPr>
              <w:t>Compliance gaps</w:t>
            </w:r>
          </w:p>
        </w:tc>
        <w:tc>
          <w:tcPr>
            <w:tcW w:type="dxa" w:w="3024"/>
            <w:vAlign w:val="top"/>
          </w:tcPr>
          <w:p>
            <w:r/>
            <w:r>
              <w:rPr>
                <w:b w:val="0"/>
                <w:color w:val="0F172A"/>
                <w:sz w:val="15"/>
              </w:rPr>
              <w:t>No AML/KYC, sanctions, GDPR/DPIA, cybersecurity, procurement, accounting, anti-lobbying, or conflicts policy is provided.</w:t>
            </w:r>
          </w:p>
        </w:tc>
        <w:tc>
          <w:tcPr>
            <w:tcW w:type="dxa" w:w="2880"/>
            <w:vAlign w:val="top"/>
          </w:tcPr>
          <w:p>
            <w:r/>
            <w:r>
              <w:rPr>
                <w:b w:val="0"/>
                <w:color w:val="0F172A"/>
                <w:sz w:val="15"/>
              </w:rPr>
              <w:t>High audit and implementation risk.</w:t>
            </w:r>
          </w:p>
        </w:tc>
        <w:tc>
          <w:tcPr>
            <w:tcW w:type="dxa" w:w="3024"/>
            <w:vAlign w:val="top"/>
          </w:tcPr>
          <w:p>
            <w:r/>
            <w:r>
              <w:rPr>
                <w:b w:val="0"/>
                <w:color w:val="0F172A"/>
                <w:sz w:val="15"/>
              </w:rPr>
              <w:t>Add policies, controls, responsible owners, and a compliance checklist before submission.</w:t>
            </w:r>
          </w:p>
        </w:tc>
      </w:tr>
    </w:tbl>
    <w:p>
      <w:pPr>
        <w:pStyle w:val="Heading2"/>
      </w:pPr>
      <w:r>
        <w:t>Missing Information</w:t>
      </w:r>
    </w:p>
    <w:p>
      <w:pPr>
        <w:pStyle w:val="ListBullet"/>
      </w:pPr>
      <w:r>
        <w:t>Target grant program, country, agency, call title, maximum award, match requirement, eligible cost rules, and deadline.</w:t>
      </w:r>
    </w:p>
    <w:p>
      <w:pPr>
        <w:pStyle w:val="ListBullet"/>
      </w:pPr>
      <w:r>
        <w:t>Final legal applicant name, incorporation certificate, registration number, address, tax/VAT ID, beneficial ownership, and authorized signatory.</w:t>
      </w:r>
    </w:p>
    <w:p>
      <w:pPr>
        <w:pStyle w:val="ListBullet"/>
      </w:pPr>
      <w:r>
        <w:t>Evidence of eligibility: nonprofit/for-profit eligibility, SME status, de minimis/subsidy/state-aid status, and local presence requirements.</w:t>
      </w:r>
    </w:p>
    <w:p>
      <w:pPr>
        <w:pStyle w:val="ListBullet"/>
      </w:pPr>
      <w:r>
        <w:t>Audited financial statements or management accounts, bank letter, cash match proof, and accounting policies.</w:t>
      </w:r>
    </w:p>
    <w:p>
      <w:pPr>
        <w:pStyle w:val="ListBullet"/>
      </w:pPr>
      <w:r>
        <w:t>Named management team, resumes, organizational chart, board/advisory roles, and time commitments.</w:t>
      </w:r>
    </w:p>
    <w:p>
      <w:pPr>
        <w:pStyle w:val="ListBullet"/>
      </w:pPr>
      <w:r>
        <w:t>Letters of intent from pilot buyers, project developers, data providers, standards/verification partners, and public-sector stakeholders.</w:t>
      </w:r>
    </w:p>
    <w:p>
      <w:pPr>
        <w:pStyle w:val="ListBullet"/>
      </w:pPr>
      <w:r>
        <w:t>Procurement policy, conflict-of-interest policy, cost allocation method, timesheet controls, and grant drawdown procedures.</w:t>
      </w:r>
    </w:p>
    <w:p>
      <w:pPr>
        <w:pStyle w:val="ListBullet"/>
      </w:pPr>
      <w:r>
        <w:t>Detailed technical architecture, data sources, data rights, security controls, DPIA/GDPR plan, hosting region, and incident response plan.</w:t>
      </w:r>
    </w:p>
    <w:p>
      <w:pPr>
        <w:pStyle w:val="ListBullet"/>
      </w:pPr>
      <w:r>
        <w:t>Legal opinion on whether marketplace transactions trigger financial services, commodities, AML/KYC, sanctions, brokerage, or escrow licensing.</w:t>
      </w:r>
    </w:p>
    <w:p>
      <w:pPr>
        <w:pStyle w:val="ListBullet"/>
      </w:pPr>
      <w:r>
        <w:t>Carbon integrity methodology, quality criteria, use of ICVCM/VCMI, safeguards, claims policy, and anti-greenwashing review process.</w:t>
      </w:r>
    </w:p>
    <w:p>
      <w:pPr>
        <w:pStyle w:val="ListBullet"/>
      </w:pPr>
      <w:r>
        <w:t>Evidence of market demand and pricing: customer discovery interviews, pilot pipeline, conversion assumptions, competitor benchmarking, and willingness-to-pay data.</w:t>
      </w:r>
    </w:p>
    <w:p>
      <w:pPr>
        <w:pStyle w:val="ListBullet"/>
      </w:pPr>
      <w:r>
        <w:t>Independent evaluation plan with evaluator identified, baseline metrics, data collection tools, and reporting templates.</w:t>
      </w:r>
    </w:p>
    <w:p>
      <w:pPr>
        <w:pStyle w:val="ListBullet"/>
      </w:pPr>
      <w:r>
        <w:t>Insurance certificates, IP ownership confirmation, subcontractor/consultant quotes, and cloud/data vendor quotes.</w:t>
      </w:r>
    </w:p>
    <w:p>
      <w:pPr>
        <w:pStyle w:val="ListBullet"/>
      </w:pPr>
      <w:r>
        <w:t>Environmental/social safeguards, human rights policy, grievance mechanism, community safeguards for project listings, and data ethics policy.</w:t>
      </w:r>
    </w:p>
    <w:p>
      <w:pPr>
        <w:pStyle w:val="ListBullet"/>
      </w:pPr>
      <w:r>
        <w:t>Final commercialization and sustainability plan after grant funding ends.</w:t>
      </w:r>
    </w:p>
    <w:p>
      <w:pPr>
        <w:pStyle w:val="Heading2"/>
      </w:pPr>
      <w:r>
        <w:t>Top 10 Changes to Improve Approval Chances</w:t>
      </w:r>
    </w:p>
    <w:p>
      <w:pPr>
        <w:pStyle w:val="ListNumber"/>
      </w:pPr>
      <w:r>
        <w:t>Choose a specific grant program and rewrite the application against that program's scoring rubric.</w:t>
      </w:r>
    </w:p>
    <w:p>
      <w:pPr>
        <w:pStyle w:val="ListNumber"/>
      </w:pPr>
      <w:r>
        <w:t>Replace the $50M equity-investment ask with a phased grant request, match plan, and future financing strategy.</w:t>
      </w:r>
    </w:p>
    <w:p>
      <w:pPr>
        <w:pStyle w:val="ListNumber"/>
      </w:pPr>
      <w:r>
        <w:t>Confirm legal entity, applicant jurisdiction, eligibility, tax status, bank account, and authorized signatory.</w:t>
      </w:r>
    </w:p>
    <w:p>
      <w:pPr>
        <w:pStyle w:val="ListNumber"/>
      </w:pPr>
      <w:r>
        <w:t>Secure signed LOIs from at least 10 pilot buyers, 5 project developers, and 2-3 technical/compliance partners.</w:t>
      </w:r>
    </w:p>
    <w:p>
      <w:pPr>
        <w:pStyle w:val="ListNumber"/>
      </w:pPr>
      <w:r>
        <w:t>Obtain a legal/regulatory memo on carbon credit transactions, AML/KYC, sanctions, consumer claims, and financial services risk.</w:t>
      </w:r>
    </w:p>
    <w:p>
      <w:pPr>
        <w:pStyle w:val="ListNumber"/>
      </w:pPr>
      <w:r>
        <w:t>Replace market-size claims with sourced, segmented data and a bottom-up revenue model.</w:t>
      </w:r>
    </w:p>
    <w:p>
      <w:pPr>
        <w:pStyle w:val="ListNumber"/>
      </w:pPr>
      <w:r>
        <w:t>Stop claiming certification authority unless accreditation or formal partnerships are documented.</w:t>
      </w:r>
    </w:p>
    <w:p>
      <w:pPr>
        <w:pStyle w:val="ListNumber"/>
      </w:pPr>
      <w:r>
        <w:t>Add procurement, financial controls, timesheets, data protection, cybersecurity, conflict-of-interest, and anti-lobbying policies.</w:t>
      </w:r>
    </w:p>
    <w:p>
      <w:pPr>
        <w:pStyle w:val="ListNumber"/>
      </w:pPr>
      <w:r>
        <w:t>Build a credible M&amp;E plan that reports platform outputs and verified retirements without overclaiming emissions reductions.</w:t>
      </w:r>
    </w:p>
    <w:p>
      <w:pPr>
        <w:pStyle w:val="ListNumber"/>
      </w:pPr>
      <w:r>
        <w:t>Add a named management team, advisors, governance structure, and independent evaluator.</w:t>
      </w:r>
    </w:p>
    <w:p>
      <w:pPr>
        <w:pStyle w:val="Heading1"/>
      </w:pPr>
      <w:r>
        <w:t>Executive Summary</w:t>
      </w:r>
    </w:p>
    <w:p>
      <w:r>
        <w:rPr>
          <w:b w:val="0"/>
        </w:rPr>
        <w:t>EcoConnect Global Ltd. proposes to develop and pilot a transparent, data-driven marketplace and reporting infrastructure that helps companies, especially SMEs, identify, compare, purchase, and track verified carbon credits with stronger documentation, risk screening, and auditable reporting. The project addresses a clear market failure: carbon credit information is fragmented, quality signals are inconsistent, and smaller buyers often lack the budget or internal expertise to conduct meaningful diligence.</w:t>
      </w:r>
    </w:p>
    <w:p>
      <w:r>
        <w:rPr>
          <w:b w:val="0"/>
        </w:rPr>
        <w:t>The grant-ready version of the project is a 24-month Phase 1 pilot, not a full global roll-out. The recommended request is $5,000,000 in government grant funding with a placeholder $1,250,000 applicant match, for a total pilot budget of $6,250,000. The original $50,000,000 investor-style financing request should be retained only as a future blended-finance or commercial scale-up strategy after the pilot has validated demand, compliance, and impact.</w:t>
      </w:r>
    </w:p>
    <w:p>
      <w:r>
        <w:rPr>
          <w:b w:val="0"/>
        </w:rPr>
        <w:t>The project will produce public-benefit outputs: standardized carbon project profiles, an integrity-screening methodology, SME buyer education, auditable reporting tools, pilot-user evidence, and an independent evaluation. Climate impact will be reported conservatively: EcoConnect will count verified retirements and documented buyer behavior changes, not claim emissions reductions merely because credits are listed or analyzed.</w:t>
      </w:r>
    </w:p>
    <w:p>
      <w:pPr>
        <w:pStyle w:val="Heading1"/>
      </w:pPr>
      <w:r>
        <w:t>Company and Applicant Overview</w:t>
      </w:r>
    </w:p>
    <w:tbl>
      <w:tblPr>
        <w:tblStyle w:val="TableGrid"/>
        <w:tblW w:type="auto" w:w="0"/>
        <w:jc w:val="center"/>
        <w:tblLook w:firstColumn="1" w:firstRow="1" w:lastColumn="0" w:lastRow="0" w:noHBand="0" w:noVBand="1" w:val="04A0"/>
      </w:tblPr>
      <w:tblGrid>
        <w:gridCol w:w="5040"/>
        <w:gridCol w:w="5040"/>
      </w:tblGrid>
      <w:tr>
        <w:tc>
          <w:tcPr>
            <w:tcW w:type="dxa" w:w="2880"/>
            <w:vAlign w:val="top"/>
            <w:shd w:fill="0F766E"/>
          </w:tcPr>
          <w:p>
            <w:r/>
            <w:r>
              <w:rPr>
                <w:b/>
                <w:color w:val="FFFFFF"/>
                <w:sz w:val="17"/>
              </w:rPr>
              <w:t>Field</w:t>
            </w:r>
          </w:p>
        </w:tc>
        <w:tc>
          <w:tcPr>
            <w:tcW w:type="dxa" w:w="8208"/>
            <w:vAlign w:val="top"/>
            <w:shd w:fill="0F766E"/>
          </w:tcPr>
          <w:p>
            <w:r/>
            <w:r>
              <w:rPr>
                <w:b/>
                <w:color w:val="FFFFFF"/>
                <w:sz w:val="17"/>
              </w:rPr>
              <w:t>Grant-ready draft response</w:t>
            </w:r>
          </w:p>
        </w:tc>
      </w:tr>
      <w:tr>
        <w:tc>
          <w:tcPr>
            <w:tcW w:type="dxa" w:w="2880"/>
            <w:vAlign w:val="top"/>
          </w:tcPr>
          <w:p>
            <w:r/>
            <w:r>
              <w:rPr>
                <w:b w:val="0"/>
                <w:color w:val="0F172A"/>
                <w:sz w:val="17"/>
              </w:rPr>
              <w:t>Applicant name</w:t>
            </w:r>
          </w:p>
        </w:tc>
        <w:tc>
          <w:tcPr>
            <w:tcW w:type="dxa" w:w="8208"/>
            <w:vAlign w:val="top"/>
          </w:tcPr>
          <w:p>
            <w:r/>
            <w:r>
              <w:rPr>
                <w:b w:val="0"/>
                <w:color w:val="0F172A"/>
                <w:sz w:val="17"/>
              </w:rPr>
              <w:t>EcoConnect Global Ltd. - legal status and registration evidence to be confirmed.</w:t>
            </w:r>
          </w:p>
        </w:tc>
      </w:tr>
      <w:tr>
        <w:tc>
          <w:tcPr>
            <w:tcW w:type="dxa" w:w="2880"/>
            <w:vAlign w:val="top"/>
          </w:tcPr>
          <w:p>
            <w:r/>
            <w:r>
              <w:rPr>
                <w:b w:val="0"/>
                <w:color w:val="0F172A"/>
                <w:sz w:val="17"/>
              </w:rPr>
              <w:t>Proposed legal structure</w:t>
            </w:r>
          </w:p>
        </w:tc>
        <w:tc>
          <w:tcPr>
            <w:tcW w:type="dxa" w:w="8208"/>
            <w:vAlign w:val="top"/>
          </w:tcPr>
          <w:p>
            <w:r/>
            <w:r>
              <w:rPr>
                <w:b w:val="0"/>
                <w:color w:val="0F172A"/>
                <w:sz w:val="17"/>
              </w:rPr>
              <w:t>Private limited company, as stated in the source plan; supporting incorporation evidence is missing.</w:t>
            </w:r>
          </w:p>
        </w:tc>
      </w:tr>
      <w:tr>
        <w:tc>
          <w:tcPr>
            <w:tcW w:type="dxa" w:w="2880"/>
            <w:vAlign w:val="top"/>
          </w:tcPr>
          <w:p>
            <w:r/>
            <w:r>
              <w:rPr>
                <w:b w:val="0"/>
                <w:color w:val="0F172A"/>
                <w:sz w:val="17"/>
              </w:rPr>
              <w:t>Location</w:t>
            </w:r>
          </w:p>
        </w:tc>
        <w:tc>
          <w:tcPr>
            <w:tcW w:type="dxa" w:w="8208"/>
            <w:vAlign w:val="top"/>
          </w:tcPr>
          <w:p>
            <w:r/>
            <w:r>
              <w:rPr>
                <w:b w:val="0"/>
                <w:color w:val="0F172A"/>
                <w:sz w:val="17"/>
              </w:rPr>
              <w:t>To be confirmed. Source documents reference a proposed London headquarters and a Kosovo contact address. The final application must use one eligible applicant jurisdiction.</w:t>
            </w:r>
          </w:p>
        </w:tc>
      </w:tr>
      <w:tr>
        <w:tc>
          <w:tcPr>
            <w:tcW w:type="dxa" w:w="2880"/>
            <w:vAlign w:val="top"/>
          </w:tcPr>
          <w:p>
            <w:r/>
            <w:r>
              <w:rPr>
                <w:b w:val="0"/>
                <w:color w:val="0F172A"/>
                <w:sz w:val="17"/>
              </w:rPr>
              <w:t>Mission</w:t>
            </w:r>
          </w:p>
        </w:tc>
        <w:tc>
          <w:tcPr>
            <w:tcW w:type="dxa" w:w="8208"/>
            <w:vAlign w:val="top"/>
          </w:tcPr>
          <w:p>
            <w:r/>
            <w:r>
              <w:rPr>
                <w:b w:val="0"/>
                <w:color w:val="0F172A"/>
                <w:sz w:val="17"/>
              </w:rPr>
              <w:t>To empower organizations to pursue credible climate action by improving transparency, access, and auditability in carbon credit discovery, diligence, purchasing, and reporting.</w:t>
            </w:r>
          </w:p>
        </w:tc>
      </w:tr>
      <w:tr>
        <w:tc>
          <w:tcPr>
            <w:tcW w:type="dxa" w:w="2880"/>
            <w:vAlign w:val="top"/>
          </w:tcPr>
          <w:p>
            <w:r/>
            <w:r>
              <w:rPr>
                <w:b w:val="0"/>
                <w:color w:val="0F172A"/>
                <w:sz w:val="17"/>
              </w:rPr>
              <w:t>Vision</w:t>
            </w:r>
          </w:p>
        </w:tc>
        <w:tc>
          <w:tcPr>
            <w:tcW w:type="dxa" w:w="8208"/>
            <w:vAlign w:val="top"/>
          </w:tcPr>
          <w:p>
            <w:r/>
            <w:r>
              <w:rPr>
                <w:b w:val="0"/>
                <w:color w:val="0F172A"/>
                <w:sz w:val="17"/>
              </w:rPr>
              <w:t>A trusted and accessible infrastructure layer for high-integrity carbon market participation and sustainability finance.</w:t>
            </w:r>
          </w:p>
        </w:tc>
      </w:tr>
      <w:tr>
        <w:tc>
          <w:tcPr>
            <w:tcW w:type="dxa" w:w="2880"/>
            <w:vAlign w:val="top"/>
          </w:tcPr>
          <w:p>
            <w:r/>
            <w:r>
              <w:rPr>
                <w:b w:val="0"/>
                <w:color w:val="0F172A"/>
                <w:sz w:val="17"/>
              </w:rPr>
              <w:t>Target users</w:t>
            </w:r>
          </w:p>
        </w:tc>
        <w:tc>
          <w:tcPr>
            <w:tcW w:type="dxa" w:w="8208"/>
            <w:vAlign w:val="top"/>
          </w:tcPr>
          <w:p>
            <w:r/>
            <w:r>
              <w:rPr>
                <w:b w:val="0"/>
                <w:color w:val="0F172A"/>
                <w:sz w:val="17"/>
              </w:rPr>
              <w:t>SMEs and tech-forward corporates seeking credible carbon credit access; sustainability project developers needing transparent buyer channels; public/NGO stakeholders seeking better market data.</w:t>
            </w:r>
          </w:p>
        </w:tc>
      </w:tr>
      <w:tr>
        <w:tc>
          <w:tcPr>
            <w:tcW w:type="dxa" w:w="2880"/>
            <w:vAlign w:val="top"/>
          </w:tcPr>
          <w:p>
            <w:r/>
            <w:r>
              <w:rPr>
                <w:b w:val="0"/>
                <w:color w:val="0F172A"/>
                <w:sz w:val="17"/>
              </w:rPr>
              <w:t>Stage</w:t>
            </w:r>
          </w:p>
        </w:tc>
        <w:tc>
          <w:tcPr>
            <w:tcW w:type="dxa" w:w="8208"/>
            <w:vAlign w:val="top"/>
          </w:tcPr>
          <w:p>
            <w:r/>
            <w:r>
              <w:rPr>
                <w:b w:val="0"/>
                <w:color w:val="0F172A"/>
                <w:sz w:val="17"/>
              </w:rPr>
              <w:t>Concept/pre-pilot based on submitted materials; MVP, customers, and partner commitments must be verified.</w:t>
            </w:r>
          </w:p>
        </w:tc>
      </w:tr>
    </w:tbl>
    <w:p>
      <w:pPr>
        <w:pStyle w:val="Heading1"/>
      </w:pPr>
      <w:r>
        <w:t>Problem and Need</w:t>
      </w:r>
    </w:p>
    <w:p>
      <w:r>
        <w:rPr>
          <w:b w:val="0"/>
        </w:rPr>
        <w:t>Carbon credit markets are increasingly important to climate finance, but trust and usability problems remain. Buyers face fragmented registry data, uneven project documentation, inconsistent quality signals, and concerns about over-crediting, additionality, permanence, double counting, and social safeguards. Smaller companies are especially disadvantaged because credible diligence often requires consultants, legal review, and specialist carbon market knowledge.</w:t>
      </w:r>
    </w:p>
    <w:p>
      <w:r>
        <w:rPr>
          <w:b w:val="0"/>
        </w:rPr>
        <w:t>The World Bank reports that direct carbon pricing now covers nearly 30% of global greenhouse gas emissions and has mobilized substantial public revenue, while carbon crediting markets continue to evolve. At the same time, Ecosystem Marketplace reports that the voluntary carbon market contracted sharply in 2023, with the total reported VCM transaction value at $723 million and a 56% year-on-year decline in reported transaction volume. This combination supports a cautious but important need: infrastructure that increases confidence, transparency, and integrity rather than simply accelerating volume.</w:t>
      </w:r>
    </w:p>
    <w:p>
      <w:pPr>
        <w:pStyle w:val="Heading1"/>
      </w:pPr>
      <w:r>
        <w:t>Project Solution</w:t>
      </w:r>
    </w:p>
    <w:p>
      <w:r>
        <w:rPr>
          <w:b w:val="0"/>
        </w:rPr>
        <w:t>EcoConnect will build a pilot platform that combines standardized registry data, documentation workflows, risk scoring, buyer education, and reporting. It will not represent itself as an official carbon credit standard, registry, or accredited verifier unless formal accreditation or partnerships are secured. The platform will support diligence and reporting by surfacing documentation, integrity signals, and audit trails.</w:t>
      </w:r>
    </w:p>
    <w:tbl>
      <w:tblPr>
        <w:tblStyle w:val="TableGrid"/>
        <w:tblW w:type="auto" w:w="0"/>
        <w:jc w:val="center"/>
        <w:tblLook w:firstColumn="1" w:firstRow="1" w:lastColumn="0" w:lastRow="0" w:noHBand="0" w:noVBand="1" w:val="04A0"/>
      </w:tblPr>
      <w:tblGrid>
        <w:gridCol w:w="3360"/>
        <w:gridCol w:w="3360"/>
        <w:gridCol w:w="3360"/>
      </w:tblGrid>
      <w:tr>
        <w:tc>
          <w:tcPr>
            <w:tcW w:type="dxa" w:w="2160"/>
            <w:vAlign w:val="top"/>
            <w:shd w:fill="0F766E"/>
          </w:tcPr>
          <w:p>
            <w:r/>
            <w:r>
              <w:rPr>
                <w:b/>
                <w:color w:val="FFFFFF"/>
                <w:sz w:val="17"/>
              </w:rPr>
              <w:t>Component</w:t>
            </w:r>
          </w:p>
        </w:tc>
        <w:tc>
          <w:tcPr>
            <w:tcW w:type="dxa" w:w="4464"/>
            <w:vAlign w:val="top"/>
            <w:shd w:fill="0F766E"/>
          </w:tcPr>
          <w:p>
            <w:r/>
            <w:r>
              <w:rPr>
                <w:b/>
                <w:color w:val="FFFFFF"/>
                <w:sz w:val="17"/>
              </w:rPr>
              <w:t>Description</w:t>
            </w:r>
          </w:p>
        </w:tc>
        <w:tc>
          <w:tcPr>
            <w:tcW w:type="dxa" w:w="4464"/>
            <w:vAlign w:val="top"/>
            <w:shd w:fill="0F766E"/>
          </w:tcPr>
          <w:p>
            <w:r/>
            <w:r>
              <w:rPr>
                <w:b/>
                <w:color w:val="FFFFFF"/>
                <w:sz w:val="17"/>
              </w:rPr>
              <w:t>Grant-funded output</w:t>
            </w:r>
          </w:p>
        </w:tc>
      </w:tr>
      <w:tr>
        <w:tc>
          <w:tcPr>
            <w:tcW w:type="dxa" w:w="2160"/>
            <w:vAlign w:val="top"/>
          </w:tcPr>
          <w:p>
            <w:r/>
            <w:r>
              <w:rPr>
                <w:b w:val="0"/>
                <w:color w:val="0F172A"/>
                <w:sz w:val="17"/>
              </w:rPr>
              <w:t>Marketplace browser</w:t>
            </w:r>
          </w:p>
        </w:tc>
        <w:tc>
          <w:tcPr>
            <w:tcW w:type="dxa" w:w="4464"/>
            <w:vAlign w:val="top"/>
          </w:tcPr>
          <w:p>
            <w:r/>
            <w:r>
              <w:rPr>
                <w:b w:val="0"/>
                <w:color w:val="0F172A"/>
                <w:sz w:val="17"/>
              </w:rPr>
              <w:t>Searchable project profiles with standardized data fields and documentation links.</w:t>
            </w:r>
          </w:p>
        </w:tc>
        <w:tc>
          <w:tcPr>
            <w:tcW w:type="dxa" w:w="4464"/>
            <w:vAlign w:val="top"/>
          </w:tcPr>
          <w:p>
            <w:r/>
            <w:r>
              <w:rPr>
                <w:b w:val="0"/>
                <w:color w:val="0F172A"/>
                <w:sz w:val="17"/>
              </w:rPr>
              <w:t>Pilot marketplace with 50-150 standardized project profiles.</w:t>
            </w:r>
          </w:p>
        </w:tc>
      </w:tr>
      <w:tr>
        <w:tc>
          <w:tcPr>
            <w:tcW w:type="dxa" w:w="2160"/>
            <w:vAlign w:val="top"/>
          </w:tcPr>
          <w:p>
            <w:r/>
            <w:r>
              <w:rPr>
                <w:b w:val="0"/>
                <w:color w:val="0F172A"/>
                <w:sz w:val="17"/>
              </w:rPr>
              <w:t>Integrity-screening layer</w:t>
            </w:r>
          </w:p>
        </w:tc>
        <w:tc>
          <w:tcPr>
            <w:tcW w:type="dxa" w:w="4464"/>
            <w:vAlign w:val="top"/>
          </w:tcPr>
          <w:p>
            <w:r/>
            <w:r>
              <w:rPr>
                <w:b w:val="0"/>
                <w:color w:val="0F172A"/>
                <w:sz w:val="17"/>
              </w:rPr>
              <w:t>Criteria informed by ICVCM, VCMI, and registry documentation.</w:t>
            </w:r>
          </w:p>
        </w:tc>
        <w:tc>
          <w:tcPr>
            <w:tcW w:type="dxa" w:w="4464"/>
            <w:vAlign w:val="top"/>
          </w:tcPr>
          <w:p>
            <w:r/>
            <w:r>
              <w:rPr>
                <w:b w:val="0"/>
                <w:color w:val="0F172A"/>
                <w:sz w:val="17"/>
              </w:rPr>
              <w:t>Documented methodology and scoring workflow.</w:t>
            </w:r>
          </w:p>
        </w:tc>
      </w:tr>
      <w:tr>
        <w:tc>
          <w:tcPr>
            <w:tcW w:type="dxa" w:w="2160"/>
            <w:vAlign w:val="top"/>
          </w:tcPr>
          <w:p>
            <w:r/>
            <w:r>
              <w:rPr>
                <w:b w:val="0"/>
                <w:color w:val="0F172A"/>
                <w:sz w:val="17"/>
              </w:rPr>
              <w:t>Buyer reporting tools</w:t>
            </w:r>
          </w:p>
        </w:tc>
        <w:tc>
          <w:tcPr>
            <w:tcW w:type="dxa" w:w="4464"/>
            <w:vAlign w:val="top"/>
          </w:tcPr>
          <w:p>
            <w:r/>
            <w:r>
              <w:rPr>
                <w:b w:val="0"/>
                <w:color w:val="0F172A"/>
                <w:sz w:val="17"/>
              </w:rPr>
              <w:t>Portfolio, retirement tracking, and ESG/compliance reporting templates.</w:t>
            </w:r>
          </w:p>
        </w:tc>
        <w:tc>
          <w:tcPr>
            <w:tcW w:type="dxa" w:w="4464"/>
            <w:vAlign w:val="top"/>
          </w:tcPr>
          <w:p>
            <w:r/>
            <w:r>
              <w:rPr>
                <w:b w:val="0"/>
                <w:color w:val="0F172A"/>
                <w:sz w:val="17"/>
              </w:rPr>
              <w:t>Auditable reports for pilot buyers.</w:t>
            </w:r>
          </w:p>
        </w:tc>
      </w:tr>
      <w:tr>
        <w:tc>
          <w:tcPr>
            <w:tcW w:type="dxa" w:w="2160"/>
            <w:vAlign w:val="top"/>
          </w:tcPr>
          <w:p>
            <w:r/>
            <w:r>
              <w:rPr>
                <w:b w:val="0"/>
                <w:color w:val="0F172A"/>
                <w:sz w:val="17"/>
              </w:rPr>
              <w:t>Education and dissemination</w:t>
            </w:r>
          </w:p>
        </w:tc>
        <w:tc>
          <w:tcPr>
            <w:tcW w:type="dxa" w:w="4464"/>
            <w:vAlign w:val="top"/>
          </w:tcPr>
          <w:p>
            <w:r/>
            <w:r>
              <w:rPr>
                <w:b w:val="0"/>
                <w:color w:val="0F172A"/>
                <w:sz w:val="17"/>
              </w:rPr>
              <w:t>SME workshops, user guides, and public learning outputs.</w:t>
            </w:r>
          </w:p>
        </w:tc>
        <w:tc>
          <w:tcPr>
            <w:tcW w:type="dxa" w:w="4464"/>
            <w:vAlign w:val="top"/>
          </w:tcPr>
          <w:p>
            <w:r/>
            <w:r>
              <w:rPr>
                <w:b w:val="0"/>
                <w:color w:val="0F172A"/>
                <w:sz w:val="17"/>
              </w:rPr>
              <w:t>At least 8 workshops/webinars by project end.</w:t>
            </w:r>
          </w:p>
        </w:tc>
      </w:tr>
      <w:tr>
        <w:tc>
          <w:tcPr>
            <w:tcW w:type="dxa" w:w="2160"/>
            <w:vAlign w:val="top"/>
          </w:tcPr>
          <w:p>
            <w:r/>
            <w:r>
              <w:rPr>
                <w:b w:val="0"/>
                <w:color w:val="0F172A"/>
                <w:sz w:val="17"/>
              </w:rPr>
              <w:t>Monitoring and evaluation</w:t>
            </w:r>
          </w:p>
        </w:tc>
        <w:tc>
          <w:tcPr>
            <w:tcW w:type="dxa" w:w="4464"/>
            <w:vAlign w:val="top"/>
          </w:tcPr>
          <w:p>
            <w:r/>
            <w:r>
              <w:rPr>
                <w:b w:val="0"/>
                <w:color w:val="0F172A"/>
                <w:sz w:val="17"/>
              </w:rPr>
              <w:t>KPI tracking, user feedback, independent evaluation.</w:t>
            </w:r>
          </w:p>
        </w:tc>
        <w:tc>
          <w:tcPr>
            <w:tcW w:type="dxa" w:w="4464"/>
            <w:vAlign w:val="top"/>
          </w:tcPr>
          <w:p>
            <w:r/>
            <w:r>
              <w:rPr>
                <w:b w:val="0"/>
                <w:color w:val="0F172A"/>
                <w:sz w:val="17"/>
              </w:rPr>
              <w:t>Final evaluation and scale-readiness report.</w:t>
            </w:r>
          </w:p>
        </w:tc>
      </w:tr>
    </w:tbl>
    <w:p>
      <w:pPr>
        <w:pStyle w:val="Heading1"/>
      </w:pPr>
      <w:r>
        <w:t>Market and Need Analysis</w:t>
      </w:r>
    </w:p>
    <w:p>
      <w:r>
        <w:rPr>
          <w:b w:val="0"/>
        </w:rPr>
        <w:t>The source documents correctly identify demand drivers such as net-zero commitments, reporting requirements, and the need for more credible offsetting workflows. However, the original plan overstates market capture and does not distinguish sufficiently between compliance carbon markets, voluntary carbon markets, carbon credit registries, exchanges, ratings providers, and sustainability reporting platforms.</w:t>
      </w:r>
    </w:p>
    <w:p>
      <w:r>
        <w:rPr>
          <w:b w:val="0"/>
        </w:rPr>
        <w:t>A stronger market argument is not that EcoConnect will quickly capture 1% of a multi-hundred-billion-dollar global market. The stronger grant argument is that a narrow pilot can solve an information and trust gap for SMEs and project developers by reducing due diligence friction and improving the evidence base for high-integrity carbon credit use.</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016"/>
            <w:vAlign w:val="top"/>
            <w:shd w:fill="0F766E"/>
          </w:tcPr>
          <w:p>
            <w:r/>
            <w:r>
              <w:rPr>
                <w:b/>
                <w:color w:val="FFFFFF"/>
                <w:sz w:val="17"/>
              </w:rPr>
              <w:t>Segment</w:t>
            </w:r>
          </w:p>
        </w:tc>
        <w:tc>
          <w:tcPr>
            <w:tcW w:type="dxa" w:w="3024"/>
            <w:vAlign w:val="top"/>
            <w:shd w:fill="0F766E"/>
          </w:tcPr>
          <w:p>
            <w:r/>
            <w:r>
              <w:rPr>
                <w:b/>
                <w:color w:val="FFFFFF"/>
                <w:sz w:val="17"/>
              </w:rPr>
              <w:t>Need</w:t>
            </w:r>
          </w:p>
        </w:tc>
        <w:tc>
          <w:tcPr>
            <w:tcW w:type="dxa" w:w="3168"/>
            <w:vAlign w:val="top"/>
            <w:shd w:fill="0F766E"/>
          </w:tcPr>
          <w:p>
            <w:r/>
            <w:r>
              <w:rPr>
                <w:b/>
                <w:color w:val="FFFFFF"/>
                <w:sz w:val="17"/>
              </w:rPr>
              <w:t>EcoConnect response</w:t>
            </w:r>
          </w:p>
        </w:tc>
        <w:tc>
          <w:tcPr>
            <w:tcW w:type="dxa" w:w="2880"/>
            <w:vAlign w:val="top"/>
            <w:shd w:fill="0F766E"/>
          </w:tcPr>
          <w:p>
            <w:r/>
            <w:r>
              <w:rPr>
                <w:b/>
                <w:color w:val="FFFFFF"/>
                <w:sz w:val="17"/>
              </w:rPr>
              <w:t>Evidence required before submission</w:t>
            </w:r>
          </w:p>
        </w:tc>
      </w:tr>
      <w:tr>
        <w:tc>
          <w:tcPr>
            <w:tcW w:type="dxa" w:w="2016"/>
            <w:vAlign w:val="top"/>
          </w:tcPr>
          <w:p>
            <w:r/>
            <w:r>
              <w:rPr>
                <w:b w:val="0"/>
                <w:color w:val="0F172A"/>
                <w:sz w:val="17"/>
              </w:rPr>
              <w:t>SME buyers</w:t>
            </w:r>
          </w:p>
        </w:tc>
        <w:tc>
          <w:tcPr>
            <w:tcW w:type="dxa" w:w="3024"/>
            <w:vAlign w:val="top"/>
          </w:tcPr>
          <w:p>
            <w:r/>
            <w:r>
              <w:rPr>
                <w:b w:val="0"/>
                <w:color w:val="0F172A"/>
                <w:sz w:val="17"/>
              </w:rPr>
              <w:t>Affordable, understandable access to credible credit options.</w:t>
            </w:r>
          </w:p>
        </w:tc>
        <w:tc>
          <w:tcPr>
            <w:tcW w:type="dxa" w:w="3168"/>
            <w:vAlign w:val="top"/>
          </w:tcPr>
          <w:p>
            <w:r/>
            <w:r>
              <w:rPr>
                <w:b w:val="0"/>
                <w:color w:val="0F172A"/>
                <w:sz w:val="17"/>
              </w:rPr>
              <w:t>Self-service discovery, education, documentation, reporting.</w:t>
            </w:r>
          </w:p>
        </w:tc>
        <w:tc>
          <w:tcPr>
            <w:tcW w:type="dxa" w:w="2880"/>
            <w:vAlign w:val="top"/>
          </w:tcPr>
          <w:p>
            <w:r/>
            <w:r>
              <w:rPr>
                <w:b w:val="0"/>
                <w:color w:val="0F172A"/>
                <w:sz w:val="17"/>
              </w:rPr>
              <w:t>LOIs, interviews, willingness-to-pay evidence.</w:t>
            </w:r>
          </w:p>
        </w:tc>
      </w:tr>
      <w:tr>
        <w:tc>
          <w:tcPr>
            <w:tcW w:type="dxa" w:w="2016"/>
            <w:vAlign w:val="top"/>
          </w:tcPr>
          <w:p>
            <w:r/>
            <w:r>
              <w:rPr>
                <w:b w:val="0"/>
                <w:color w:val="0F172A"/>
                <w:sz w:val="17"/>
              </w:rPr>
              <w:t>Project developers</w:t>
            </w:r>
          </w:p>
        </w:tc>
        <w:tc>
          <w:tcPr>
            <w:tcW w:type="dxa" w:w="3024"/>
            <w:vAlign w:val="top"/>
          </w:tcPr>
          <w:p>
            <w:r/>
            <w:r>
              <w:rPr>
                <w:b w:val="0"/>
                <w:color w:val="0F172A"/>
                <w:sz w:val="17"/>
              </w:rPr>
              <w:t>Visibility to qualified buyers and lower transaction friction.</w:t>
            </w:r>
          </w:p>
        </w:tc>
        <w:tc>
          <w:tcPr>
            <w:tcW w:type="dxa" w:w="3168"/>
            <w:vAlign w:val="top"/>
          </w:tcPr>
          <w:p>
            <w:r/>
            <w:r>
              <w:rPr>
                <w:b w:val="0"/>
                <w:color w:val="0F172A"/>
                <w:sz w:val="17"/>
              </w:rPr>
              <w:t>Standardized profiles and buyer discovery workflow.</w:t>
            </w:r>
          </w:p>
        </w:tc>
        <w:tc>
          <w:tcPr>
            <w:tcW w:type="dxa" w:w="2880"/>
            <w:vAlign w:val="top"/>
          </w:tcPr>
          <w:p>
            <w:r/>
            <w:r>
              <w:rPr>
                <w:b w:val="0"/>
                <w:color w:val="0F172A"/>
                <w:sz w:val="17"/>
              </w:rPr>
              <w:t>Developer LOIs and data-sharing permissions.</w:t>
            </w:r>
          </w:p>
        </w:tc>
      </w:tr>
      <w:tr>
        <w:tc>
          <w:tcPr>
            <w:tcW w:type="dxa" w:w="2016"/>
            <w:vAlign w:val="top"/>
          </w:tcPr>
          <w:p>
            <w:r/>
            <w:r>
              <w:rPr>
                <w:b w:val="0"/>
                <w:color w:val="0F172A"/>
                <w:sz w:val="17"/>
              </w:rPr>
              <w:t>Public/NGO stakeholders</w:t>
            </w:r>
          </w:p>
        </w:tc>
        <w:tc>
          <w:tcPr>
            <w:tcW w:type="dxa" w:w="3024"/>
            <w:vAlign w:val="top"/>
          </w:tcPr>
          <w:p>
            <w:r/>
            <w:r>
              <w:rPr>
                <w:b w:val="0"/>
                <w:color w:val="0F172A"/>
                <w:sz w:val="17"/>
              </w:rPr>
              <w:t>More transparency and less greenwashing risk.</w:t>
            </w:r>
          </w:p>
        </w:tc>
        <w:tc>
          <w:tcPr>
            <w:tcW w:type="dxa" w:w="3168"/>
            <w:vAlign w:val="top"/>
          </w:tcPr>
          <w:p>
            <w:r/>
            <w:r>
              <w:rPr>
                <w:b w:val="0"/>
                <w:color w:val="0F172A"/>
                <w:sz w:val="17"/>
              </w:rPr>
              <w:t>Public learning outputs and methodology notes.</w:t>
            </w:r>
          </w:p>
        </w:tc>
        <w:tc>
          <w:tcPr>
            <w:tcW w:type="dxa" w:w="2880"/>
            <w:vAlign w:val="top"/>
          </w:tcPr>
          <w:p>
            <w:r/>
            <w:r>
              <w:rPr>
                <w:b w:val="0"/>
                <w:color w:val="0F172A"/>
                <w:sz w:val="17"/>
              </w:rPr>
              <w:t>Independent evaluator and safeguards policy.</w:t>
            </w:r>
          </w:p>
        </w:tc>
      </w:tr>
      <w:tr>
        <w:tc>
          <w:tcPr>
            <w:tcW w:type="dxa" w:w="2016"/>
            <w:vAlign w:val="top"/>
          </w:tcPr>
          <w:p>
            <w:r/>
            <w:r>
              <w:rPr>
                <w:b w:val="0"/>
                <w:color w:val="0F172A"/>
                <w:sz w:val="17"/>
              </w:rPr>
              <w:t>Grant funder</w:t>
            </w:r>
          </w:p>
        </w:tc>
        <w:tc>
          <w:tcPr>
            <w:tcW w:type="dxa" w:w="3024"/>
            <w:vAlign w:val="top"/>
          </w:tcPr>
          <w:p>
            <w:r/>
            <w:r>
              <w:rPr>
                <w:b w:val="0"/>
                <w:color w:val="0F172A"/>
                <w:sz w:val="17"/>
              </w:rPr>
              <w:t>Public benefit, innovation, accountability, economic impact.</w:t>
            </w:r>
          </w:p>
        </w:tc>
        <w:tc>
          <w:tcPr>
            <w:tcW w:type="dxa" w:w="3168"/>
            <w:vAlign w:val="top"/>
          </w:tcPr>
          <w:p>
            <w:r/>
            <w:r>
              <w:rPr>
                <w:b w:val="0"/>
                <w:color w:val="0F172A"/>
                <w:sz w:val="17"/>
              </w:rPr>
              <w:t>Pilot outputs, jobs, SME enablement, evaluation.</w:t>
            </w:r>
          </w:p>
        </w:tc>
        <w:tc>
          <w:tcPr>
            <w:tcW w:type="dxa" w:w="2880"/>
            <w:vAlign w:val="top"/>
          </w:tcPr>
          <w:p>
            <w:r/>
            <w:r>
              <w:rPr>
                <w:b w:val="0"/>
                <w:color w:val="0F172A"/>
                <w:sz w:val="17"/>
              </w:rPr>
              <w:t>Final match evidence and compliance file.</w:t>
            </w:r>
          </w:p>
        </w:tc>
      </w:tr>
    </w:tbl>
    <w:p>
      <w:pPr>
        <w:pStyle w:val="Heading1"/>
      </w:pPr>
      <w:r>
        <w:t>Business Model</w:t>
      </w:r>
    </w:p>
    <w:p>
      <w:r>
        <w:rPr>
          <w:b w:val="0"/>
        </w:rPr>
        <w:t>The long-term commercial model uses transaction fees, subscriptions, reporting/API services, and verification-support services. For grant purposes, however, the business model should be presented as sustainability after the grant, not as the reason for grant award. Government grant reviewers typically want to know that public funds will create a demonstrable public good and that the applicant can sustain the activity after the grant period.</w:t>
      </w:r>
    </w:p>
    <w:tbl>
      <w:tblPr>
        <w:tblStyle w:val="TableGrid"/>
        <w:tblW w:type="auto" w:w="0"/>
        <w:jc w:val="center"/>
        <w:tblLook w:firstColumn="1" w:firstRow="1" w:lastColumn="0" w:lastRow="0" w:noHBand="0" w:noVBand="1" w:val="04A0"/>
      </w:tblPr>
      <w:tblGrid>
        <w:gridCol w:w="3360"/>
        <w:gridCol w:w="3360"/>
        <w:gridCol w:w="3360"/>
      </w:tblGrid>
      <w:tr>
        <w:tc>
          <w:tcPr>
            <w:tcW w:type="dxa" w:w="2880"/>
            <w:vAlign w:val="top"/>
            <w:shd w:fill="0F766E"/>
          </w:tcPr>
          <w:p>
            <w:r/>
            <w:r>
              <w:rPr>
                <w:b/>
                <w:color w:val="FFFFFF"/>
                <w:sz w:val="17"/>
              </w:rPr>
              <w:t>Revenue stream</w:t>
            </w:r>
          </w:p>
        </w:tc>
        <w:tc>
          <w:tcPr>
            <w:tcW w:type="dxa" w:w="3312"/>
            <w:vAlign w:val="top"/>
            <w:shd w:fill="0F766E"/>
          </w:tcPr>
          <w:p>
            <w:r/>
            <w:r>
              <w:rPr>
                <w:b/>
                <w:color w:val="FFFFFF"/>
                <w:sz w:val="17"/>
              </w:rPr>
              <w:t>Base-case assumption</w:t>
            </w:r>
          </w:p>
        </w:tc>
        <w:tc>
          <w:tcPr>
            <w:tcW w:type="dxa" w:w="4752"/>
            <w:vAlign w:val="top"/>
            <w:shd w:fill="0F766E"/>
          </w:tcPr>
          <w:p>
            <w:r/>
            <w:r>
              <w:rPr>
                <w:b/>
                <w:color w:val="FFFFFF"/>
                <w:sz w:val="17"/>
              </w:rPr>
              <w:t>Reviewer note</w:t>
            </w:r>
          </w:p>
        </w:tc>
      </w:tr>
      <w:tr>
        <w:tc>
          <w:tcPr>
            <w:tcW w:type="dxa" w:w="2880"/>
            <w:vAlign w:val="top"/>
          </w:tcPr>
          <w:p>
            <w:r/>
            <w:r>
              <w:rPr>
                <w:b w:val="0"/>
                <w:color w:val="0F172A"/>
                <w:sz w:val="17"/>
              </w:rPr>
              <w:t>Pro subscriptions</w:t>
            </w:r>
          </w:p>
        </w:tc>
        <w:tc>
          <w:tcPr>
            <w:tcW w:type="dxa" w:w="3312"/>
            <w:vAlign w:val="top"/>
          </w:tcPr>
          <w:p>
            <w:r/>
            <w:r>
              <w:rPr>
                <w:b w:val="0"/>
                <w:color w:val="0F172A"/>
                <w:sz w:val="17"/>
              </w:rPr>
              <w:t>$299/month placeholder for SME users.</w:t>
            </w:r>
          </w:p>
        </w:tc>
        <w:tc>
          <w:tcPr>
            <w:tcW w:type="dxa" w:w="4752"/>
            <w:vAlign w:val="top"/>
          </w:tcPr>
          <w:p>
            <w:r/>
            <w:r>
              <w:rPr>
                <w:b w:val="0"/>
                <w:color w:val="0F172A"/>
                <w:sz w:val="17"/>
              </w:rPr>
              <w:t>Lower and more realistic than source document $1,000/month tier for broad SME adoption.</w:t>
            </w:r>
          </w:p>
        </w:tc>
      </w:tr>
      <w:tr>
        <w:tc>
          <w:tcPr>
            <w:tcW w:type="dxa" w:w="2880"/>
            <w:vAlign w:val="top"/>
          </w:tcPr>
          <w:p>
            <w:r/>
            <w:r>
              <w:rPr>
                <w:b w:val="0"/>
                <w:color w:val="0F172A"/>
                <w:sz w:val="17"/>
              </w:rPr>
              <w:t>Enterprise/API subscriptions</w:t>
            </w:r>
          </w:p>
        </w:tc>
        <w:tc>
          <w:tcPr>
            <w:tcW w:type="dxa" w:w="3312"/>
            <w:vAlign w:val="top"/>
          </w:tcPr>
          <w:p>
            <w:r/>
            <w:r>
              <w:rPr>
                <w:b w:val="0"/>
                <w:color w:val="0F172A"/>
                <w:sz w:val="17"/>
              </w:rPr>
              <w:t>$1,500/month placeholder.</w:t>
            </w:r>
          </w:p>
        </w:tc>
        <w:tc>
          <w:tcPr>
            <w:tcW w:type="dxa" w:w="4752"/>
            <w:vAlign w:val="top"/>
          </w:tcPr>
          <w:p>
            <w:r/>
            <w:r>
              <w:rPr>
                <w:b w:val="0"/>
                <w:color w:val="0F172A"/>
                <w:sz w:val="17"/>
              </w:rPr>
              <w:t>Requires customer discovery and pricing validation.</w:t>
            </w:r>
          </w:p>
        </w:tc>
      </w:tr>
      <w:tr>
        <w:tc>
          <w:tcPr>
            <w:tcW w:type="dxa" w:w="2880"/>
            <w:vAlign w:val="top"/>
          </w:tcPr>
          <w:p>
            <w:r/>
            <w:r>
              <w:rPr>
                <w:b w:val="0"/>
                <w:color w:val="0F172A"/>
                <w:sz w:val="17"/>
              </w:rPr>
              <w:t>Marketplace transaction fees</w:t>
            </w:r>
          </w:p>
        </w:tc>
        <w:tc>
          <w:tcPr>
            <w:tcW w:type="dxa" w:w="3312"/>
            <w:vAlign w:val="top"/>
          </w:tcPr>
          <w:p>
            <w:r/>
            <w:r>
              <w:rPr>
                <w:b w:val="0"/>
                <w:color w:val="0F172A"/>
                <w:sz w:val="17"/>
              </w:rPr>
              <w:t>2.5% take rate on GMV.</w:t>
            </w:r>
          </w:p>
        </w:tc>
        <w:tc>
          <w:tcPr>
            <w:tcW w:type="dxa" w:w="4752"/>
            <w:vAlign w:val="top"/>
          </w:tcPr>
          <w:p>
            <w:r/>
            <w:r>
              <w:rPr>
                <w:b w:val="0"/>
                <w:color w:val="0F172A"/>
                <w:sz w:val="17"/>
              </w:rPr>
              <w:t>Regulatory review required before facilitating transactions.</w:t>
            </w:r>
          </w:p>
        </w:tc>
      </w:tr>
      <w:tr>
        <w:tc>
          <w:tcPr>
            <w:tcW w:type="dxa" w:w="2880"/>
            <w:vAlign w:val="top"/>
          </w:tcPr>
          <w:p>
            <w:r/>
            <w:r>
              <w:rPr>
                <w:b w:val="0"/>
                <w:color w:val="0F172A"/>
                <w:sz w:val="17"/>
              </w:rPr>
              <w:t>Verification support / due diligence reports</w:t>
            </w:r>
          </w:p>
        </w:tc>
        <w:tc>
          <w:tcPr>
            <w:tcW w:type="dxa" w:w="3312"/>
            <w:vAlign w:val="top"/>
          </w:tcPr>
          <w:p>
            <w:r/>
            <w:r>
              <w:rPr>
                <w:b w:val="0"/>
                <w:color w:val="0F172A"/>
                <w:sz w:val="17"/>
              </w:rPr>
              <w:t>$8,500-$12,500 per engagement.</w:t>
            </w:r>
          </w:p>
        </w:tc>
        <w:tc>
          <w:tcPr>
            <w:tcW w:type="dxa" w:w="4752"/>
            <w:vAlign w:val="top"/>
          </w:tcPr>
          <w:p>
            <w:r/>
            <w:r>
              <w:rPr>
                <w:b w:val="0"/>
                <w:color w:val="0F172A"/>
                <w:sz w:val="17"/>
              </w:rPr>
              <w:t>Must avoid claiming official certification unless accredited.</w:t>
            </w:r>
          </w:p>
        </w:tc>
      </w:tr>
      <w:tr>
        <w:tc>
          <w:tcPr>
            <w:tcW w:type="dxa" w:w="2880"/>
            <w:vAlign w:val="top"/>
          </w:tcPr>
          <w:p>
            <w:r/>
            <w:r>
              <w:rPr>
                <w:b w:val="0"/>
                <w:color w:val="0F172A"/>
                <w:sz w:val="17"/>
              </w:rPr>
              <w:t>Data/reporting services</w:t>
            </w:r>
          </w:p>
        </w:tc>
        <w:tc>
          <w:tcPr>
            <w:tcW w:type="dxa" w:w="3312"/>
            <w:vAlign w:val="top"/>
          </w:tcPr>
          <w:p>
            <w:r/>
            <w:r>
              <w:rPr>
                <w:b w:val="0"/>
                <w:color w:val="0F172A"/>
                <w:sz w:val="17"/>
              </w:rPr>
              <w:t>$8,000 per report/API package placeholder.</w:t>
            </w:r>
          </w:p>
        </w:tc>
        <w:tc>
          <w:tcPr>
            <w:tcW w:type="dxa" w:w="4752"/>
            <w:vAlign w:val="top"/>
          </w:tcPr>
          <w:p>
            <w:r/>
            <w:r>
              <w:rPr>
                <w:b w:val="0"/>
                <w:color w:val="0F172A"/>
                <w:sz w:val="17"/>
              </w:rPr>
              <w:t>Data rights and privacy must be documented.</w:t>
            </w:r>
          </w:p>
        </w:tc>
      </w:tr>
    </w:tbl>
    <w:p>
      <w:pPr>
        <w:pStyle w:val="Heading1"/>
      </w:pPr>
      <w:r>
        <w:t>Implementation Plan</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304"/>
            <w:vAlign w:val="top"/>
            <w:shd w:fill="0F766E"/>
          </w:tcPr>
          <w:p>
            <w:r/>
            <w:r>
              <w:rPr>
                <w:b/>
                <w:color w:val="FFFFFF"/>
                <w:sz w:val="15"/>
              </w:rPr>
              <w:t>Phase</w:t>
            </w:r>
          </w:p>
        </w:tc>
        <w:tc>
          <w:tcPr>
            <w:tcW w:type="dxa" w:w="1152"/>
            <w:vAlign w:val="top"/>
            <w:shd w:fill="0F766E"/>
          </w:tcPr>
          <w:p>
            <w:r/>
            <w:r>
              <w:rPr>
                <w:b/>
                <w:color w:val="FFFFFF"/>
                <w:sz w:val="15"/>
              </w:rPr>
              <w:t>Months</w:t>
            </w:r>
          </w:p>
        </w:tc>
        <w:tc>
          <w:tcPr>
            <w:tcW w:type="dxa" w:w="4464"/>
            <w:vAlign w:val="top"/>
            <w:shd w:fill="0F766E"/>
          </w:tcPr>
          <w:p>
            <w:r/>
            <w:r>
              <w:rPr>
                <w:b/>
                <w:color w:val="FFFFFF"/>
                <w:sz w:val="15"/>
              </w:rPr>
              <w:t>Major Activities</w:t>
            </w:r>
          </w:p>
        </w:tc>
        <w:tc>
          <w:tcPr>
            <w:tcW w:type="dxa" w:w="3456"/>
            <w:vAlign w:val="top"/>
            <w:shd w:fill="0F766E"/>
          </w:tcPr>
          <w:p>
            <w:r/>
            <w:r>
              <w:rPr>
                <w:b/>
                <w:color w:val="FFFFFF"/>
                <w:sz w:val="15"/>
              </w:rPr>
              <w:t>Key Deliverables</w:t>
            </w:r>
          </w:p>
        </w:tc>
      </w:tr>
      <w:tr>
        <w:tc>
          <w:tcPr>
            <w:tcW w:type="dxa" w:w="2304"/>
            <w:vAlign w:val="top"/>
          </w:tcPr>
          <w:p>
            <w:r/>
            <w:r>
              <w:rPr>
                <w:b w:val="0"/>
                <w:color w:val="0F172A"/>
                <w:sz w:val="15"/>
              </w:rPr>
              <w:t>1. Award mobilization and governance</w:t>
            </w:r>
          </w:p>
        </w:tc>
        <w:tc>
          <w:tcPr>
            <w:tcW w:type="dxa" w:w="1152"/>
            <w:vAlign w:val="top"/>
          </w:tcPr>
          <w:p>
            <w:r/>
            <w:r>
              <w:rPr>
                <w:b w:val="0"/>
                <w:color w:val="0F172A"/>
                <w:sz w:val="15"/>
              </w:rPr>
              <w:t>1-2</w:t>
            </w:r>
          </w:p>
        </w:tc>
        <w:tc>
          <w:tcPr>
            <w:tcW w:type="dxa" w:w="4464"/>
            <w:vAlign w:val="top"/>
          </w:tcPr>
          <w:p>
            <w:r/>
            <w:r>
              <w:rPr>
                <w:b w:val="0"/>
                <w:color w:val="0F172A"/>
                <w:sz w:val="15"/>
              </w:rPr>
              <w:t>Finalize grant agreement, appoint project manager, confirm controls, procurement plan, and reporting calendar.</w:t>
            </w:r>
          </w:p>
        </w:tc>
        <w:tc>
          <w:tcPr>
            <w:tcW w:type="dxa" w:w="3456"/>
            <w:vAlign w:val="top"/>
          </w:tcPr>
          <w:p>
            <w:r/>
            <w:r>
              <w:rPr>
                <w:b w:val="0"/>
                <w:color w:val="0F172A"/>
                <w:sz w:val="15"/>
              </w:rPr>
              <w:t>Kickoff pack, governance charter, procurement/compliance file, risk register.</w:t>
            </w:r>
          </w:p>
        </w:tc>
      </w:tr>
      <w:tr>
        <w:tc>
          <w:tcPr>
            <w:tcW w:type="dxa" w:w="2304"/>
            <w:vAlign w:val="top"/>
          </w:tcPr>
          <w:p>
            <w:r/>
            <w:r>
              <w:rPr>
                <w:b w:val="0"/>
                <w:color w:val="0F172A"/>
                <w:sz w:val="15"/>
              </w:rPr>
              <w:t>2. Technical discovery and architecture</w:t>
            </w:r>
          </w:p>
        </w:tc>
        <w:tc>
          <w:tcPr>
            <w:tcW w:type="dxa" w:w="1152"/>
            <w:vAlign w:val="top"/>
          </w:tcPr>
          <w:p>
            <w:r/>
            <w:r>
              <w:rPr>
                <w:b w:val="0"/>
                <w:color w:val="0F172A"/>
                <w:sz w:val="15"/>
              </w:rPr>
              <w:t>1-3</w:t>
            </w:r>
          </w:p>
        </w:tc>
        <w:tc>
          <w:tcPr>
            <w:tcW w:type="dxa" w:w="4464"/>
            <w:vAlign w:val="top"/>
          </w:tcPr>
          <w:p>
            <w:r/>
            <w:r>
              <w:rPr>
                <w:b w:val="0"/>
                <w:color w:val="0F172A"/>
                <w:sz w:val="15"/>
              </w:rPr>
              <w:t>Validate user requirements, map registries/data sources, define MVP scope, complete security architecture.</w:t>
            </w:r>
          </w:p>
        </w:tc>
        <w:tc>
          <w:tcPr>
            <w:tcW w:type="dxa" w:w="3456"/>
            <w:vAlign w:val="top"/>
          </w:tcPr>
          <w:p>
            <w:r/>
            <w:r>
              <w:rPr>
                <w:b w:val="0"/>
                <w:color w:val="0F172A"/>
                <w:sz w:val="15"/>
              </w:rPr>
              <w:t>Product requirements, architecture diagram, data map, DPIA scope.</w:t>
            </w:r>
          </w:p>
        </w:tc>
      </w:tr>
      <w:tr>
        <w:tc>
          <w:tcPr>
            <w:tcW w:type="dxa" w:w="2304"/>
            <w:vAlign w:val="top"/>
          </w:tcPr>
          <w:p>
            <w:r/>
            <w:r>
              <w:rPr>
                <w:b w:val="0"/>
                <w:color w:val="0F172A"/>
                <w:sz w:val="15"/>
              </w:rPr>
              <w:t>3. MVP and data pipeline build</w:t>
            </w:r>
          </w:p>
        </w:tc>
        <w:tc>
          <w:tcPr>
            <w:tcW w:type="dxa" w:w="1152"/>
            <w:vAlign w:val="top"/>
          </w:tcPr>
          <w:p>
            <w:r/>
            <w:r>
              <w:rPr>
                <w:b w:val="0"/>
                <w:color w:val="0F172A"/>
                <w:sz w:val="15"/>
              </w:rPr>
              <w:t>3-8</w:t>
            </w:r>
          </w:p>
        </w:tc>
        <w:tc>
          <w:tcPr>
            <w:tcW w:type="dxa" w:w="4464"/>
            <w:vAlign w:val="top"/>
          </w:tcPr>
          <w:p>
            <w:r/>
            <w:r>
              <w:rPr>
                <w:b w:val="0"/>
                <w:color w:val="0F172A"/>
                <w:sz w:val="15"/>
              </w:rPr>
              <w:t>Develop marketplace browser, registry ingestion, standardized project profiles, dashboards, and audit logs.</w:t>
            </w:r>
          </w:p>
        </w:tc>
        <w:tc>
          <w:tcPr>
            <w:tcW w:type="dxa" w:w="3456"/>
            <w:vAlign w:val="top"/>
          </w:tcPr>
          <w:p>
            <w:r/>
            <w:r>
              <w:rPr>
                <w:b w:val="0"/>
                <w:color w:val="0F172A"/>
                <w:sz w:val="15"/>
              </w:rPr>
              <w:t>MVP demo, data pipeline, initial project profiles, QA report.</w:t>
            </w:r>
          </w:p>
        </w:tc>
      </w:tr>
      <w:tr>
        <w:tc>
          <w:tcPr>
            <w:tcW w:type="dxa" w:w="2304"/>
            <w:vAlign w:val="top"/>
          </w:tcPr>
          <w:p>
            <w:r/>
            <w:r>
              <w:rPr>
                <w:b w:val="0"/>
                <w:color w:val="0F172A"/>
                <w:sz w:val="15"/>
              </w:rPr>
              <w:t>4. Integrity framework and compliance review</w:t>
            </w:r>
          </w:p>
        </w:tc>
        <w:tc>
          <w:tcPr>
            <w:tcW w:type="dxa" w:w="1152"/>
            <w:vAlign w:val="top"/>
          </w:tcPr>
          <w:p>
            <w:r/>
            <w:r>
              <w:rPr>
                <w:b w:val="0"/>
                <w:color w:val="0F172A"/>
                <w:sz w:val="15"/>
              </w:rPr>
              <w:t>4-10</w:t>
            </w:r>
          </w:p>
        </w:tc>
        <w:tc>
          <w:tcPr>
            <w:tcW w:type="dxa" w:w="4464"/>
            <w:vAlign w:val="top"/>
          </w:tcPr>
          <w:p>
            <w:r/>
            <w:r>
              <w:rPr>
                <w:b w:val="0"/>
                <w:color w:val="0F172A"/>
                <w:sz w:val="15"/>
              </w:rPr>
              <w:t>Develop credit quality criteria, claims policy, verification workflow, legal review, and cybersecurity controls.</w:t>
            </w:r>
          </w:p>
        </w:tc>
        <w:tc>
          <w:tcPr>
            <w:tcW w:type="dxa" w:w="3456"/>
            <w:vAlign w:val="top"/>
          </w:tcPr>
          <w:p>
            <w:r/>
            <w:r>
              <w:rPr>
                <w:b w:val="0"/>
                <w:color w:val="0F172A"/>
                <w:sz w:val="15"/>
              </w:rPr>
              <w:t>Integrity methodology, claims policy, legal memo, security test plan.</w:t>
            </w:r>
          </w:p>
        </w:tc>
      </w:tr>
      <w:tr>
        <w:tc>
          <w:tcPr>
            <w:tcW w:type="dxa" w:w="2304"/>
            <w:vAlign w:val="top"/>
          </w:tcPr>
          <w:p>
            <w:r/>
            <w:r>
              <w:rPr>
                <w:b w:val="0"/>
                <w:color w:val="0F172A"/>
                <w:sz w:val="15"/>
              </w:rPr>
              <w:t>5. Pilot onboarding</w:t>
            </w:r>
          </w:p>
        </w:tc>
        <w:tc>
          <w:tcPr>
            <w:tcW w:type="dxa" w:w="1152"/>
            <w:vAlign w:val="top"/>
          </w:tcPr>
          <w:p>
            <w:r/>
            <w:r>
              <w:rPr>
                <w:b w:val="0"/>
                <w:color w:val="0F172A"/>
                <w:sz w:val="15"/>
              </w:rPr>
              <w:t>7-14</w:t>
            </w:r>
          </w:p>
        </w:tc>
        <w:tc>
          <w:tcPr>
            <w:tcW w:type="dxa" w:w="4464"/>
            <w:vAlign w:val="top"/>
          </w:tcPr>
          <w:p>
            <w:r/>
            <w:r>
              <w:rPr>
                <w:b w:val="0"/>
                <w:color w:val="0F172A"/>
                <w:sz w:val="15"/>
              </w:rPr>
              <w:t>Recruit pilot buyers and project developers, run training, collect feedback, revise UX and reporting outputs.</w:t>
            </w:r>
          </w:p>
        </w:tc>
        <w:tc>
          <w:tcPr>
            <w:tcW w:type="dxa" w:w="3456"/>
            <w:vAlign w:val="top"/>
          </w:tcPr>
          <w:p>
            <w:r/>
            <w:r>
              <w:rPr>
                <w:b w:val="0"/>
                <w:color w:val="0F172A"/>
                <w:sz w:val="15"/>
              </w:rPr>
              <w:t>10-20 buyer LOIs/users, 5-10 project developer participants, training materials.</w:t>
            </w:r>
          </w:p>
        </w:tc>
      </w:tr>
      <w:tr>
        <w:tc>
          <w:tcPr>
            <w:tcW w:type="dxa" w:w="2304"/>
            <w:vAlign w:val="top"/>
          </w:tcPr>
          <w:p>
            <w:r/>
            <w:r>
              <w:rPr>
                <w:b w:val="0"/>
                <w:color w:val="0F172A"/>
                <w:sz w:val="15"/>
              </w:rPr>
              <w:t>6. Transaction and retirement tracking pilot</w:t>
            </w:r>
          </w:p>
        </w:tc>
        <w:tc>
          <w:tcPr>
            <w:tcW w:type="dxa" w:w="1152"/>
            <w:vAlign w:val="top"/>
          </w:tcPr>
          <w:p>
            <w:r/>
            <w:r>
              <w:rPr>
                <w:b w:val="0"/>
                <w:color w:val="0F172A"/>
                <w:sz w:val="15"/>
              </w:rPr>
              <w:t>12-20</w:t>
            </w:r>
          </w:p>
        </w:tc>
        <w:tc>
          <w:tcPr>
            <w:tcW w:type="dxa" w:w="4464"/>
            <w:vAlign w:val="top"/>
          </w:tcPr>
          <w:p>
            <w:r/>
            <w:r>
              <w:rPr>
                <w:b w:val="0"/>
                <w:color w:val="0F172A"/>
                <w:sz w:val="15"/>
              </w:rPr>
              <w:t>Test purchase/retirement tracking workflow, reporting, customer support, and public benefit metrics.</w:t>
            </w:r>
          </w:p>
        </w:tc>
        <w:tc>
          <w:tcPr>
            <w:tcW w:type="dxa" w:w="3456"/>
            <w:vAlign w:val="top"/>
          </w:tcPr>
          <w:p>
            <w:r/>
            <w:r>
              <w:rPr>
                <w:b w:val="0"/>
                <w:color w:val="0F172A"/>
                <w:sz w:val="15"/>
              </w:rPr>
              <w:t>Pilot transaction/retirement reports, user satisfaction data, issue log.</w:t>
            </w:r>
          </w:p>
        </w:tc>
      </w:tr>
      <w:tr>
        <w:tc>
          <w:tcPr>
            <w:tcW w:type="dxa" w:w="2304"/>
            <w:vAlign w:val="top"/>
          </w:tcPr>
          <w:p>
            <w:r/>
            <w:r>
              <w:rPr>
                <w:b w:val="0"/>
                <w:color w:val="0F172A"/>
                <w:sz w:val="15"/>
              </w:rPr>
              <w:t>7. Public beta and dissemination</w:t>
            </w:r>
          </w:p>
        </w:tc>
        <w:tc>
          <w:tcPr>
            <w:tcW w:type="dxa" w:w="1152"/>
            <w:vAlign w:val="top"/>
          </w:tcPr>
          <w:p>
            <w:r/>
            <w:r>
              <w:rPr>
                <w:b w:val="0"/>
                <w:color w:val="0F172A"/>
                <w:sz w:val="15"/>
              </w:rPr>
              <w:t>18-22</w:t>
            </w:r>
          </w:p>
        </w:tc>
        <w:tc>
          <w:tcPr>
            <w:tcW w:type="dxa" w:w="4464"/>
            <w:vAlign w:val="top"/>
          </w:tcPr>
          <w:p>
            <w:r/>
            <w:r>
              <w:rPr>
                <w:b w:val="0"/>
                <w:color w:val="0F172A"/>
                <w:sz w:val="15"/>
              </w:rPr>
              <w:t>Release beta features, publish public learning, hold workshops, prepare scale plan.</w:t>
            </w:r>
          </w:p>
        </w:tc>
        <w:tc>
          <w:tcPr>
            <w:tcW w:type="dxa" w:w="3456"/>
            <w:vAlign w:val="top"/>
          </w:tcPr>
          <w:p>
            <w:r/>
            <w:r>
              <w:rPr>
                <w:b w:val="0"/>
                <w:color w:val="0F172A"/>
                <w:sz w:val="15"/>
              </w:rPr>
              <w:t>Public beta, workshops, methodology note, dissemination report.</w:t>
            </w:r>
          </w:p>
        </w:tc>
      </w:tr>
      <w:tr>
        <w:tc>
          <w:tcPr>
            <w:tcW w:type="dxa" w:w="2304"/>
            <w:vAlign w:val="top"/>
          </w:tcPr>
          <w:p>
            <w:r/>
            <w:r>
              <w:rPr>
                <w:b w:val="0"/>
                <w:color w:val="0F172A"/>
                <w:sz w:val="15"/>
              </w:rPr>
              <w:t>8. Evaluation and sustainability planning</w:t>
            </w:r>
          </w:p>
        </w:tc>
        <w:tc>
          <w:tcPr>
            <w:tcW w:type="dxa" w:w="1152"/>
            <w:vAlign w:val="top"/>
          </w:tcPr>
          <w:p>
            <w:r/>
            <w:r>
              <w:rPr>
                <w:b w:val="0"/>
                <w:color w:val="0F172A"/>
                <w:sz w:val="15"/>
              </w:rPr>
              <w:t>21-24</w:t>
            </w:r>
          </w:p>
        </w:tc>
        <w:tc>
          <w:tcPr>
            <w:tcW w:type="dxa" w:w="4464"/>
            <w:vAlign w:val="top"/>
          </w:tcPr>
          <w:p>
            <w:r/>
            <w:r>
              <w:rPr>
                <w:b w:val="0"/>
                <w:color w:val="0F172A"/>
                <w:sz w:val="15"/>
              </w:rPr>
              <w:t>Independent evaluation, final reporting, financial sustainability plan, next-stage funding strategy.</w:t>
            </w:r>
          </w:p>
        </w:tc>
        <w:tc>
          <w:tcPr>
            <w:tcW w:type="dxa" w:w="3456"/>
            <w:vAlign w:val="top"/>
          </w:tcPr>
          <w:p>
            <w:r/>
            <w:r>
              <w:rPr>
                <w:b w:val="0"/>
                <w:color w:val="0F172A"/>
                <w:sz w:val="15"/>
              </w:rPr>
              <w:t>Final evaluation, final grant report, commercialization/scale plan.</w:t>
            </w:r>
          </w:p>
        </w:tc>
      </w:tr>
    </w:tbl>
    <w:p>
      <w:pPr>
        <w:pStyle w:val="Heading1"/>
      </w:pPr>
      <w:r>
        <w:t>Management and Staffing</w:t>
      </w:r>
    </w:p>
    <w:p>
      <w:r>
        <w:rPr>
          <w:b w:val="0"/>
        </w:rPr>
        <w:t>The source files name executive roles but do not provide confirmed personnel, resumes, time commitments, or governance arrangements. The grant application should include a lean delivery structure with a project director/founder, technical lead, compliance lead, finance/grants officer, product/data team, pilot manager, and independent evaluator. All roles must be matched to the budget and supported by resumes or job descriptions.</w:t>
      </w:r>
    </w:p>
    <w:p>
      <w:pPr>
        <w:pStyle w:val="ListBullet"/>
      </w:pPr>
      <w:r>
        <w:t>Project Director: accountable for delivery, funder reporting, partner commitments, and risk management.</w:t>
      </w:r>
    </w:p>
    <w:p>
      <w:pPr>
        <w:pStyle w:val="ListBullet"/>
      </w:pPr>
      <w:r>
        <w:t>Technical Lead/CTO: responsible for architecture, security, registry integrations, data pipelines, and QA.</w:t>
      </w:r>
    </w:p>
    <w:p>
      <w:pPr>
        <w:pStyle w:val="ListBullet"/>
      </w:pPr>
      <w:r>
        <w:t>Compliance and Carbon Integrity Lead: responsible for ICVCM/VCMI alignment, claims policy, data protection, AML/KYC screening approach, and legal coordination.</w:t>
      </w:r>
    </w:p>
    <w:p>
      <w:pPr>
        <w:pStyle w:val="ListBullet"/>
      </w:pPr>
      <w:r>
        <w:t>Finance/Grants Officer: responsible for procurement, timesheets, cost allocation, match evidence, drawdown documentation, and audit file.</w:t>
      </w:r>
    </w:p>
    <w:p>
      <w:pPr>
        <w:pStyle w:val="ListBullet"/>
      </w:pPr>
      <w:r>
        <w:t>Pilot and Partnerships Manager: responsible for buyer/project developer onboarding, training, user feedback, and customer success.</w:t>
      </w:r>
    </w:p>
    <w:p>
      <w:pPr>
        <w:pStyle w:val="ListBullet"/>
      </w:pPr>
      <w:r>
        <w:t>Independent Evaluator: responsible for baseline, mid-term review, final evaluation, and recommendations.</w:t>
      </w:r>
    </w:p>
    <w:p>
      <w:pPr>
        <w:pStyle w:val="Heading1"/>
      </w:pPr>
      <w:r>
        <w:t>Budget and Funding Request</w:t>
      </w:r>
    </w:p>
    <w:p>
      <w:r>
        <w:rPr>
          <w:b w:val="0"/>
        </w:rPr>
        <w:t>Recommended grant request: $5,000,000. Placeholder applicant match: $1,250,000. Total Phase 1 budget: $6,250,000. This is a deliberate correction from the source files, which request $50,000,000 as investor financing and include equity/ROI language that is not appropriate for a government grant application.</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3456"/>
            <w:vAlign w:val="top"/>
            <w:shd w:fill="0F766E"/>
          </w:tcPr>
          <w:p>
            <w:r/>
            <w:r>
              <w:rPr>
                <w:b/>
                <w:color w:val="FFFFFF"/>
                <w:sz w:val="17"/>
              </w:rPr>
              <w:t>Category</w:t>
            </w:r>
          </w:p>
        </w:tc>
        <w:tc>
          <w:tcPr>
            <w:tcW w:type="dxa" w:w="2304"/>
            <w:vAlign w:val="top"/>
            <w:shd w:fill="0F766E"/>
          </w:tcPr>
          <w:p>
            <w:r/>
            <w:r>
              <w:rPr>
                <w:b/>
                <w:color w:val="FFFFFF"/>
                <w:sz w:val="17"/>
              </w:rPr>
              <w:t>Grant Funds</w:t>
            </w:r>
          </w:p>
        </w:tc>
        <w:tc>
          <w:tcPr>
            <w:tcW w:type="dxa" w:w="2304"/>
            <w:vAlign w:val="top"/>
            <w:shd w:fill="0F766E"/>
          </w:tcPr>
          <w:p>
            <w:r/>
            <w:r>
              <w:rPr>
                <w:b/>
                <w:color w:val="FFFFFF"/>
                <w:sz w:val="17"/>
              </w:rPr>
              <w:t>Applicant Match</w:t>
            </w:r>
          </w:p>
        </w:tc>
        <w:tc>
          <w:tcPr>
            <w:tcW w:type="dxa" w:w="2304"/>
            <w:vAlign w:val="top"/>
            <w:shd w:fill="0F766E"/>
          </w:tcPr>
          <w:p>
            <w:r/>
            <w:r>
              <w:rPr>
                <w:b/>
                <w:color w:val="FFFFFF"/>
                <w:sz w:val="17"/>
              </w:rPr>
              <w:t>Total</w:t>
            </w:r>
          </w:p>
        </w:tc>
      </w:tr>
      <w:tr>
        <w:tc>
          <w:tcPr>
            <w:tcW w:type="dxa" w:w="3456"/>
            <w:vAlign w:val="top"/>
          </w:tcPr>
          <w:p>
            <w:r/>
            <w:r>
              <w:rPr>
                <w:b w:val="0"/>
                <w:color w:val="0F172A"/>
                <w:sz w:val="17"/>
              </w:rPr>
              <w:t>Product &amp; Engineering</w:t>
            </w:r>
          </w:p>
        </w:tc>
        <w:tc>
          <w:tcPr>
            <w:tcW w:type="dxa" w:w="2304"/>
            <w:vAlign w:val="top"/>
          </w:tcPr>
          <w:p>
            <w:r/>
            <w:r>
              <w:rPr>
                <w:b w:val="0"/>
                <w:color w:val="0F172A"/>
                <w:sz w:val="17"/>
              </w:rPr>
              <w:t>$1,250,000</w:t>
            </w:r>
          </w:p>
        </w:tc>
        <w:tc>
          <w:tcPr>
            <w:tcW w:type="dxa" w:w="2304"/>
            <w:vAlign w:val="top"/>
          </w:tcPr>
          <w:p>
            <w:r/>
            <w:r>
              <w:rPr>
                <w:b w:val="0"/>
                <w:color w:val="0F172A"/>
                <w:sz w:val="17"/>
              </w:rPr>
              <w:t>$325,000</w:t>
            </w:r>
          </w:p>
        </w:tc>
        <w:tc>
          <w:tcPr>
            <w:tcW w:type="dxa" w:w="2304"/>
            <w:vAlign w:val="top"/>
          </w:tcPr>
          <w:p>
            <w:r/>
            <w:r>
              <w:rPr>
                <w:b w:val="0"/>
                <w:color w:val="0F172A"/>
                <w:sz w:val="17"/>
              </w:rPr>
              <w:t>$1,575,000</w:t>
            </w:r>
          </w:p>
        </w:tc>
      </w:tr>
      <w:tr>
        <w:tc>
          <w:tcPr>
            <w:tcW w:type="dxa" w:w="3456"/>
            <w:vAlign w:val="top"/>
          </w:tcPr>
          <w:p>
            <w:r/>
            <w:r>
              <w:rPr>
                <w:b w:val="0"/>
                <w:color w:val="0F172A"/>
                <w:sz w:val="17"/>
              </w:rPr>
              <w:t>Data &amp; Verification</w:t>
            </w:r>
          </w:p>
        </w:tc>
        <w:tc>
          <w:tcPr>
            <w:tcW w:type="dxa" w:w="2304"/>
            <w:vAlign w:val="top"/>
          </w:tcPr>
          <w:p>
            <w:r/>
            <w:r>
              <w:rPr>
                <w:b w:val="0"/>
                <w:color w:val="0F172A"/>
                <w:sz w:val="17"/>
              </w:rPr>
              <w:t>$1,000,000</w:t>
            </w:r>
          </w:p>
        </w:tc>
        <w:tc>
          <w:tcPr>
            <w:tcW w:type="dxa" w:w="2304"/>
            <w:vAlign w:val="top"/>
          </w:tcPr>
          <w:p>
            <w:r/>
            <w:r>
              <w:rPr>
                <w:b w:val="0"/>
                <w:color w:val="0F172A"/>
                <w:sz w:val="17"/>
              </w:rPr>
              <w:t>$225,000</w:t>
            </w:r>
          </w:p>
        </w:tc>
        <w:tc>
          <w:tcPr>
            <w:tcW w:type="dxa" w:w="2304"/>
            <w:vAlign w:val="top"/>
          </w:tcPr>
          <w:p>
            <w:r/>
            <w:r>
              <w:rPr>
                <w:b w:val="0"/>
                <w:color w:val="0F172A"/>
                <w:sz w:val="17"/>
              </w:rPr>
              <w:t>$1,225,000</w:t>
            </w:r>
          </w:p>
        </w:tc>
      </w:tr>
      <w:tr>
        <w:tc>
          <w:tcPr>
            <w:tcW w:type="dxa" w:w="3456"/>
            <w:vAlign w:val="top"/>
          </w:tcPr>
          <w:p>
            <w:r/>
            <w:r>
              <w:rPr>
                <w:b w:val="0"/>
                <w:color w:val="0F172A"/>
                <w:sz w:val="17"/>
              </w:rPr>
              <w:t>Compliance &amp; Governance</w:t>
            </w:r>
          </w:p>
        </w:tc>
        <w:tc>
          <w:tcPr>
            <w:tcW w:type="dxa" w:w="2304"/>
            <w:vAlign w:val="top"/>
          </w:tcPr>
          <w:p>
            <w:r/>
            <w:r>
              <w:rPr>
                <w:b w:val="0"/>
                <w:color w:val="0F172A"/>
                <w:sz w:val="17"/>
              </w:rPr>
              <w:t>$600,000</w:t>
            </w:r>
          </w:p>
        </w:tc>
        <w:tc>
          <w:tcPr>
            <w:tcW w:type="dxa" w:w="2304"/>
            <w:vAlign w:val="top"/>
          </w:tcPr>
          <w:p>
            <w:r/>
            <w:r>
              <w:rPr>
                <w:b w:val="0"/>
                <w:color w:val="0F172A"/>
                <w:sz w:val="17"/>
              </w:rPr>
              <w:t>$150,000</w:t>
            </w:r>
          </w:p>
        </w:tc>
        <w:tc>
          <w:tcPr>
            <w:tcW w:type="dxa" w:w="2304"/>
            <w:vAlign w:val="top"/>
          </w:tcPr>
          <w:p>
            <w:r/>
            <w:r>
              <w:rPr>
                <w:b w:val="0"/>
                <w:color w:val="0F172A"/>
                <w:sz w:val="17"/>
              </w:rPr>
              <w:t>$750,000</w:t>
            </w:r>
          </w:p>
        </w:tc>
      </w:tr>
      <w:tr>
        <w:tc>
          <w:tcPr>
            <w:tcW w:type="dxa" w:w="3456"/>
            <w:vAlign w:val="top"/>
          </w:tcPr>
          <w:p>
            <w:r/>
            <w:r>
              <w:rPr>
                <w:b w:val="0"/>
                <w:color w:val="0F172A"/>
                <w:sz w:val="17"/>
              </w:rPr>
              <w:t>Pilot Implementation</w:t>
            </w:r>
          </w:p>
        </w:tc>
        <w:tc>
          <w:tcPr>
            <w:tcW w:type="dxa" w:w="2304"/>
            <w:vAlign w:val="top"/>
          </w:tcPr>
          <w:p>
            <w:r/>
            <w:r>
              <w:rPr>
                <w:b w:val="0"/>
                <w:color w:val="0F172A"/>
                <w:sz w:val="17"/>
              </w:rPr>
              <w:t>$750,000</w:t>
            </w:r>
          </w:p>
        </w:tc>
        <w:tc>
          <w:tcPr>
            <w:tcW w:type="dxa" w:w="2304"/>
            <w:vAlign w:val="top"/>
          </w:tcPr>
          <w:p>
            <w:r/>
            <w:r>
              <w:rPr>
                <w:b w:val="0"/>
                <w:color w:val="0F172A"/>
                <w:sz w:val="17"/>
              </w:rPr>
              <w:t>$225,000</w:t>
            </w:r>
          </w:p>
        </w:tc>
        <w:tc>
          <w:tcPr>
            <w:tcW w:type="dxa" w:w="2304"/>
            <w:vAlign w:val="top"/>
          </w:tcPr>
          <w:p>
            <w:r/>
            <w:r>
              <w:rPr>
                <w:b w:val="0"/>
                <w:color w:val="0F172A"/>
                <w:sz w:val="17"/>
              </w:rPr>
              <w:t>$975,000</w:t>
            </w:r>
          </w:p>
        </w:tc>
      </w:tr>
      <w:tr>
        <w:tc>
          <w:tcPr>
            <w:tcW w:type="dxa" w:w="3456"/>
            <w:vAlign w:val="top"/>
          </w:tcPr>
          <w:p>
            <w:r/>
            <w:r>
              <w:rPr>
                <w:b w:val="0"/>
                <w:color w:val="0F172A"/>
                <w:sz w:val="17"/>
              </w:rPr>
              <w:t>Operations &amp; Staffing</w:t>
            </w:r>
          </w:p>
        </w:tc>
        <w:tc>
          <w:tcPr>
            <w:tcW w:type="dxa" w:w="2304"/>
            <w:vAlign w:val="top"/>
          </w:tcPr>
          <w:p>
            <w:r/>
            <w:r>
              <w:rPr>
                <w:b w:val="0"/>
                <w:color w:val="0F172A"/>
                <w:sz w:val="17"/>
              </w:rPr>
              <w:t>$850,000</w:t>
            </w:r>
          </w:p>
        </w:tc>
        <w:tc>
          <w:tcPr>
            <w:tcW w:type="dxa" w:w="2304"/>
            <w:vAlign w:val="top"/>
          </w:tcPr>
          <w:p>
            <w:r/>
            <w:r>
              <w:rPr>
                <w:b w:val="0"/>
                <w:color w:val="0F172A"/>
                <w:sz w:val="17"/>
              </w:rPr>
              <w:t>$200,000</w:t>
            </w:r>
          </w:p>
        </w:tc>
        <w:tc>
          <w:tcPr>
            <w:tcW w:type="dxa" w:w="2304"/>
            <w:vAlign w:val="top"/>
          </w:tcPr>
          <w:p>
            <w:r/>
            <w:r>
              <w:rPr>
                <w:b w:val="0"/>
                <w:color w:val="0F172A"/>
                <w:sz w:val="17"/>
              </w:rPr>
              <w:t>$1,050,000</w:t>
            </w:r>
          </w:p>
        </w:tc>
      </w:tr>
      <w:tr>
        <w:tc>
          <w:tcPr>
            <w:tcW w:type="dxa" w:w="3456"/>
            <w:vAlign w:val="top"/>
          </w:tcPr>
          <w:p>
            <w:r/>
            <w:r>
              <w:rPr>
                <w:b w:val="0"/>
                <w:color w:val="0F172A"/>
                <w:sz w:val="17"/>
              </w:rPr>
              <w:t>Outreach &amp; Dissemination</w:t>
            </w:r>
          </w:p>
        </w:tc>
        <w:tc>
          <w:tcPr>
            <w:tcW w:type="dxa" w:w="2304"/>
            <w:vAlign w:val="top"/>
          </w:tcPr>
          <w:p>
            <w:r/>
            <w:r>
              <w:rPr>
                <w:b w:val="0"/>
                <w:color w:val="0F172A"/>
                <w:sz w:val="17"/>
              </w:rPr>
              <w:t>$325,000</w:t>
            </w:r>
          </w:p>
        </w:tc>
        <w:tc>
          <w:tcPr>
            <w:tcW w:type="dxa" w:w="2304"/>
            <w:vAlign w:val="top"/>
          </w:tcPr>
          <w:p>
            <w:r/>
            <w:r>
              <w:rPr>
                <w:b w:val="0"/>
                <w:color w:val="0F172A"/>
                <w:sz w:val="17"/>
              </w:rPr>
              <w:t>$75,000</w:t>
            </w:r>
          </w:p>
        </w:tc>
        <w:tc>
          <w:tcPr>
            <w:tcW w:type="dxa" w:w="2304"/>
            <w:vAlign w:val="top"/>
          </w:tcPr>
          <w:p>
            <w:r/>
            <w:r>
              <w:rPr>
                <w:b w:val="0"/>
                <w:color w:val="0F172A"/>
                <w:sz w:val="17"/>
              </w:rPr>
              <w:t>$400,000</w:t>
            </w:r>
          </w:p>
        </w:tc>
      </w:tr>
      <w:tr>
        <w:tc>
          <w:tcPr>
            <w:tcW w:type="dxa" w:w="3456"/>
            <w:vAlign w:val="top"/>
          </w:tcPr>
          <w:p>
            <w:r/>
            <w:r>
              <w:rPr>
                <w:b w:val="0"/>
                <w:color w:val="0F172A"/>
                <w:sz w:val="17"/>
              </w:rPr>
              <w:t>Monitoring &amp; Evaluation</w:t>
            </w:r>
          </w:p>
        </w:tc>
        <w:tc>
          <w:tcPr>
            <w:tcW w:type="dxa" w:w="2304"/>
            <w:vAlign w:val="top"/>
          </w:tcPr>
          <w:p>
            <w:r/>
            <w:r>
              <w:rPr>
                <w:b w:val="0"/>
                <w:color w:val="0F172A"/>
                <w:sz w:val="17"/>
              </w:rPr>
              <w:t>$175,000</w:t>
            </w:r>
          </w:p>
        </w:tc>
        <w:tc>
          <w:tcPr>
            <w:tcW w:type="dxa" w:w="2304"/>
            <w:vAlign w:val="top"/>
          </w:tcPr>
          <w:p>
            <w:r/>
            <w:r>
              <w:rPr>
                <w:b w:val="0"/>
                <w:color w:val="0F172A"/>
                <w:sz w:val="17"/>
              </w:rPr>
              <w:t>$50,000</w:t>
            </w:r>
          </w:p>
        </w:tc>
        <w:tc>
          <w:tcPr>
            <w:tcW w:type="dxa" w:w="2304"/>
            <w:vAlign w:val="top"/>
          </w:tcPr>
          <w:p>
            <w:r/>
            <w:r>
              <w:rPr>
                <w:b w:val="0"/>
                <w:color w:val="0F172A"/>
                <w:sz w:val="17"/>
              </w:rPr>
              <w:t>$225,000</w:t>
            </w:r>
          </w:p>
        </w:tc>
      </w:tr>
      <w:tr>
        <w:tc>
          <w:tcPr>
            <w:tcW w:type="dxa" w:w="3456"/>
            <w:vAlign w:val="top"/>
          </w:tcPr>
          <w:p>
            <w:r/>
            <w:r>
              <w:rPr>
                <w:b w:val="0"/>
                <w:color w:val="0F172A"/>
                <w:sz w:val="17"/>
              </w:rPr>
              <w:t>Contingency</w:t>
            </w:r>
          </w:p>
        </w:tc>
        <w:tc>
          <w:tcPr>
            <w:tcW w:type="dxa" w:w="2304"/>
            <w:vAlign w:val="top"/>
          </w:tcPr>
          <w:p>
            <w:r/>
            <w:r>
              <w:rPr>
                <w:b w:val="0"/>
                <w:color w:val="0F172A"/>
                <w:sz w:val="17"/>
              </w:rPr>
              <w:t>$50,000</w:t>
            </w:r>
          </w:p>
        </w:tc>
        <w:tc>
          <w:tcPr>
            <w:tcW w:type="dxa" w:w="2304"/>
            <w:vAlign w:val="top"/>
          </w:tcPr>
          <w:p>
            <w:r/>
            <w:r>
              <w:rPr>
                <w:b w:val="0"/>
                <w:color w:val="0F172A"/>
                <w:sz w:val="17"/>
              </w:rPr>
              <w:t>$0</w:t>
            </w:r>
          </w:p>
        </w:tc>
        <w:tc>
          <w:tcPr>
            <w:tcW w:type="dxa" w:w="2304"/>
            <w:vAlign w:val="top"/>
          </w:tcPr>
          <w:p>
            <w:r/>
            <w:r>
              <w:rPr>
                <w:b w:val="0"/>
                <w:color w:val="0F172A"/>
                <w:sz w:val="17"/>
              </w:rPr>
              <w:t>$50,000</w:t>
            </w:r>
          </w:p>
        </w:tc>
      </w:tr>
      <w:tr>
        <w:tc>
          <w:tcPr>
            <w:tcW w:type="dxa" w:w="3456"/>
            <w:vAlign w:val="top"/>
            <w:shd w:fill="E2E8F0"/>
          </w:tcPr>
          <w:p>
            <w:r/>
            <w:r>
              <w:rPr>
                <w:b/>
                <w:color w:val="0F172A"/>
                <w:sz w:val="17"/>
              </w:rPr>
              <w:t>TOTAL</w:t>
            </w:r>
          </w:p>
        </w:tc>
        <w:tc>
          <w:tcPr>
            <w:tcW w:type="dxa" w:w="2304"/>
            <w:vAlign w:val="top"/>
            <w:shd w:fill="E2E8F0"/>
          </w:tcPr>
          <w:p>
            <w:r/>
            <w:r>
              <w:rPr>
                <w:b/>
                <w:color w:val="0F172A"/>
                <w:sz w:val="17"/>
              </w:rPr>
              <w:t>$5,000,000</w:t>
            </w:r>
          </w:p>
        </w:tc>
        <w:tc>
          <w:tcPr>
            <w:tcW w:type="dxa" w:w="2304"/>
            <w:vAlign w:val="top"/>
            <w:shd w:fill="E2E8F0"/>
          </w:tcPr>
          <w:p>
            <w:r/>
            <w:r>
              <w:rPr>
                <w:b/>
                <w:color w:val="0F172A"/>
                <w:sz w:val="17"/>
              </w:rPr>
              <w:t>$1,250,000</w:t>
            </w:r>
          </w:p>
        </w:tc>
        <w:tc>
          <w:tcPr>
            <w:tcW w:type="dxa" w:w="2304"/>
            <w:vAlign w:val="top"/>
            <w:shd w:fill="E2E8F0"/>
          </w:tcPr>
          <w:p>
            <w:r/>
            <w:r>
              <w:rPr>
                <w:b/>
                <w:color w:val="0F172A"/>
                <w:sz w:val="17"/>
              </w:rPr>
              <w:t>$6,250,000</w:t>
            </w:r>
          </w:p>
        </w:tc>
      </w:tr>
    </w:tbl>
    <w:p>
      <w:pPr>
        <w:pStyle w:val="Heading1"/>
      </w:pPr>
      <w:r>
        <w:t>Financial Forecast</w:t>
      </w:r>
    </w:p>
    <w:p>
      <w:r>
        <w:rPr>
          <w:b w:val="0"/>
        </w:rPr>
        <w:t>The base-case forecast is intentionally more conservative than the source documents. It assumes slow pilot adoption, progressive subscription growth, staged GMV, and EBITDA turning positive in Year 5. It excludes grant income from operating revenue.</w:t>
      </w:r>
    </w:p>
    <w:tbl>
      <w:tblPr>
        <w:tblStyle w:val="TableGrid"/>
        <w:tblW w:type="auto" w:w="0"/>
        <w:jc w:val="center"/>
        <w:tblLook w:firstColumn="1" w:firstRow="1" w:lastColumn="0" w:lastRow="0" w:noHBand="0" w:noVBand="1" w:val="04A0"/>
      </w:tblPr>
      <w:tblGrid>
        <w:gridCol w:w="1680"/>
        <w:gridCol w:w="1680"/>
        <w:gridCol w:w="1680"/>
        <w:gridCol w:w="1680"/>
        <w:gridCol w:w="1680"/>
        <w:gridCol w:w="1680"/>
      </w:tblGrid>
      <w:tr>
        <w:tc>
          <w:tcPr>
            <w:tcW w:type="dxa" w:w="2304"/>
            <w:vAlign w:val="top"/>
            <w:shd w:fill="0F766E"/>
          </w:tcPr>
          <w:p>
            <w:r/>
            <w:r>
              <w:rPr>
                <w:b/>
                <w:color w:val="FFFFFF"/>
                <w:sz w:val="16"/>
              </w:rPr>
              <w:t>Metric</w:t>
            </w:r>
          </w:p>
        </w:tc>
        <w:tc>
          <w:tcPr>
            <w:tcW w:type="dxa" w:w="1728"/>
            <w:vAlign w:val="top"/>
            <w:shd w:fill="0F766E"/>
          </w:tcPr>
          <w:p>
            <w:r/>
            <w:r>
              <w:rPr>
                <w:b/>
                <w:color w:val="FFFFFF"/>
                <w:sz w:val="16"/>
              </w:rPr>
              <w:t>Year 1</w:t>
            </w:r>
          </w:p>
        </w:tc>
        <w:tc>
          <w:tcPr>
            <w:tcW w:type="dxa" w:w="1728"/>
            <w:vAlign w:val="top"/>
            <w:shd w:fill="0F766E"/>
          </w:tcPr>
          <w:p>
            <w:r/>
            <w:r>
              <w:rPr>
                <w:b/>
                <w:color w:val="FFFFFF"/>
                <w:sz w:val="16"/>
              </w:rPr>
              <w:t>Year 2</w:t>
            </w:r>
          </w:p>
        </w:tc>
        <w:tc>
          <w:tcPr>
            <w:tcW w:type="dxa" w:w="1728"/>
            <w:vAlign w:val="top"/>
            <w:shd w:fill="0F766E"/>
          </w:tcPr>
          <w:p>
            <w:r/>
            <w:r>
              <w:rPr>
                <w:b/>
                <w:color w:val="FFFFFF"/>
                <w:sz w:val="16"/>
              </w:rPr>
              <w:t>Year 3</w:t>
            </w:r>
          </w:p>
        </w:tc>
        <w:tc>
          <w:tcPr>
            <w:tcW w:type="dxa" w:w="1728"/>
            <w:vAlign w:val="top"/>
            <w:shd w:fill="0F766E"/>
          </w:tcPr>
          <w:p>
            <w:r/>
            <w:r>
              <w:rPr>
                <w:b/>
                <w:color w:val="FFFFFF"/>
                <w:sz w:val="16"/>
              </w:rPr>
              <w:t>Year 4</w:t>
            </w:r>
          </w:p>
        </w:tc>
        <w:tc>
          <w:tcPr>
            <w:tcW w:type="dxa" w:w="1728"/>
            <w:vAlign w:val="top"/>
            <w:shd w:fill="0F766E"/>
          </w:tcPr>
          <w:p>
            <w:r/>
            <w:r>
              <w:rPr>
                <w:b/>
                <w:color w:val="FFFFFF"/>
                <w:sz w:val="16"/>
              </w:rPr>
              <w:t>Year 5</w:t>
            </w:r>
          </w:p>
        </w:tc>
      </w:tr>
      <w:tr>
        <w:tc>
          <w:tcPr>
            <w:tcW w:type="dxa" w:w="2304"/>
            <w:vAlign w:val="top"/>
          </w:tcPr>
          <w:p>
            <w:r/>
            <w:r>
              <w:rPr>
                <w:b w:val="0"/>
                <w:color w:val="0F172A"/>
                <w:sz w:val="16"/>
              </w:rPr>
              <w:t>Revenue</w:t>
            </w:r>
          </w:p>
        </w:tc>
        <w:tc>
          <w:tcPr>
            <w:tcW w:type="dxa" w:w="1728"/>
            <w:vAlign w:val="top"/>
          </w:tcPr>
          <w:p>
            <w:r/>
            <w:r>
              <w:rPr>
                <w:b w:val="0"/>
                <w:color w:val="0F172A"/>
                <w:sz w:val="16"/>
              </w:rPr>
              <w:t>$168,700</w:t>
            </w:r>
          </w:p>
        </w:tc>
        <w:tc>
          <w:tcPr>
            <w:tcW w:type="dxa" w:w="1728"/>
            <w:vAlign w:val="top"/>
          </w:tcPr>
          <w:p>
            <w:r/>
            <w:r>
              <w:rPr>
                <w:b w:val="0"/>
                <w:color w:val="0F172A"/>
                <w:sz w:val="16"/>
              </w:rPr>
              <w:t>$1,417,600</w:t>
            </w:r>
          </w:p>
        </w:tc>
        <w:tc>
          <w:tcPr>
            <w:tcW w:type="dxa" w:w="1728"/>
            <w:vAlign w:val="top"/>
          </w:tcPr>
          <w:p>
            <w:r/>
            <w:r>
              <w:rPr>
                <w:b w:val="0"/>
                <w:color w:val="0F172A"/>
                <w:sz w:val="16"/>
              </w:rPr>
              <w:t>$5,090,400</w:t>
            </w:r>
          </w:p>
        </w:tc>
        <w:tc>
          <w:tcPr>
            <w:tcW w:type="dxa" w:w="1728"/>
            <w:vAlign w:val="top"/>
          </w:tcPr>
          <w:p>
            <w:r/>
            <w:r>
              <w:rPr>
                <w:b w:val="0"/>
                <w:color w:val="0F172A"/>
                <w:sz w:val="16"/>
              </w:rPr>
              <w:t>$11,148,400</w:t>
            </w:r>
          </w:p>
        </w:tc>
        <w:tc>
          <w:tcPr>
            <w:tcW w:type="dxa" w:w="1728"/>
            <w:vAlign w:val="top"/>
          </w:tcPr>
          <w:p>
            <w:r/>
            <w:r>
              <w:rPr>
                <w:b w:val="0"/>
                <w:color w:val="0F172A"/>
                <w:sz w:val="16"/>
              </w:rPr>
              <w:t>$21,583,000</w:t>
            </w:r>
          </w:p>
        </w:tc>
      </w:tr>
      <w:tr>
        <w:tc>
          <w:tcPr>
            <w:tcW w:type="dxa" w:w="2304"/>
            <w:vAlign w:val="top"/>
          </w:tcPr>
          <w:p>
            <w:r/>
            <w:r>
              <w:rPr>
                <w:b w:val="0"/>
                <w:color w:val="0F172A"/>
                <w:sz w:val="16"/>
              </w:rPr>
              <w:t>EBITDA</w:t>
            </w:r>
          </w:p>
        </w:tc>
        <w:tc>
          <w:tcPr>
            <w:tcW w:type="dxa" w:w="1728"/>
            <w:vAlign w:val="top"/>
          </w:tcPr>
          <w:p>
            <w:r/>
            <w:r>
              <w:rPr>
                <w:b w:val="0"/>
                <w:color w:val="0F172A"/>
                <w:sz w:val="16"/>
              </w:rPr>
              <w:t>($2,770,040)</w:t>
            </w:r>
          </w:p>
        </w:tc>
        <w:tc>
          <w:tcPr>
            <w:tcW w:type="dxa" w:w="1728"/>
            <w:vAlign w:val="top"/>
          </w:tcPr>
          <w:p>
            <w:r/>
            <w:r>
              <w:rPr>
                <w:b w:val="0"/>
                <w:color w:val="0F172A"/>
                <w:sz w:val="16"/>
              </w:rPr>
              <w:t>($3,707,920)</w:t>
            </w:r>
          </w:p>
        </w:tc>
        <w:tc>
          <w:tcPr>
            <w:tcW w:type="dxa" w:w="1728"/>
            <w:vAlign w:val="top"/>
          </w:tcPr>
          <w:p>
            <w:r/>
            <w:r>
              <w:rPr>
                <w:b w:val="0"/>
                <w:color w:val="0F172A"/>
                <w:sz w:val="16"/>
              </w:rPr>
              <w:t>($2,860,480)</w:t>
            </w:r>
          </w:p>
        </w:tc>
        <w:tc>
          <w:tcPr>
            <w:tcW w:type="dxa" w:w="1728"/>
            <w:vAlign w:val="top"/>
          </w:tcPr>
          <w:p>
            <w:r/>
            <w:r>
              <w:rPr>
                <w:b w:val="0"/>
                <w:color w:val="0F172A"/>
                <w:sz w:val="16"/>
              </w:rPr>
              <w:t>($1,043,496)</w:t>
            </w:r>
          </w:p>
        </w:tc>
        <w:tc>
          <w:tcPr>
            <w:tcW w:type="dxa" w:w="1728"/>
            <w:vAlign w:val="top"/>
          </w:tcPr>
          <w:p>
            <w:r/>
            <w:r>
              <w:rPr>
                <w:b w:val="0"/>
                <w:color w:val="0F172A"/>
                <w:sz w:val="16"/>
              </w:rPr>
              <w:t>$3,494,060</w:t>
            </w:r>
          </w:p>
        </w:tc>
      </w:tr>
      <w:tr>
        <w:tc>
          <w:tcPr>
            <w:tcW w:type="dxa" w:w="2304"/>
            <w:vAlign w:val="top"/>
          </w:tcPr>
          <w:p>
            <w:r/>
            <w:r>
              <w:rPr>
                <w:b w:val="0"/>
                <w:color w:val="0F172A"/>
                <w:sz w:val="16"/>
              </w:rPr>
              <w:t>EBITDA Margin</w:t>
            </w:r>
          </w:p>
        </w:tc>
        <w:tc>
          <w:tcPr>
            <w:tcW w:type="dxa" w:w="1728"/>
            <w:vAlign w:val="top"/>
          </w:tcPr>
          <w:p>
            <w:r/>
            <w:r>
              <w:rPr>
                <w:b w:val="0"/>
                <w:color w:val="0F172A"/>
                <w:sz w:val="16"/>
              </w:rPr>
              <w:t>-1642.0%</w:t>
            </w:r>
          </w:p>
        </w:tc>
        <w:tc>
          <w:tcPr>
            <w:tcW w:type="dxa" w:w="1728"/>
            <w:vAlign w:val="top"/>
          </w:tcPr>
          <w:p>
            <w:r/>
            <w:r>
              <w:rPr>
                <w:b w:val="0"/>
                <w:color w:val="0F172A"/>
                <w:sz w:val="16"/>
              </w:rPr>
              <w:t>-261.6%</w:t>
            </w:r>
          </w:p>
        </w:tc>
        <w:tc>
          <w:tcPr>
            <w:tcW w:type="dxa" w:w="1728"/>
            <w:vAlign w:val="top"/>
          </w:tcPr>
          <w:p>
            <w:r/>
            <w:r>
              <w:rPr>
                <w:b w:val="0"/>
                <w:color w:val="0F172A"/>
                <w:sz w:val="16"/>
              </w:rPr>
              <w:t>-56.2%</w:t>
            </w:r>
          </w:p>
        </w:tc>
        <w:tc>
          <w:tcPr>
            <w:tcW w:type="dxa" w:w="1728"/>
            <w:vAlign w:val="top"/>
          </w:tcPr>
          <w:p>
            <w:r/>
            <w:r>
              <w:rPr>
                <w:b w:val="0"/>
                <w:color w:val="0F172A"/>
                <w:sz w:val="16"/>
              </w:rPr>
              <w:t>-9.4%</w:t>
            </w:r>
          </w:p>
        </w:tc>
        <w:tc>
          <w:tcPr>
            <w:tcW w:type="dxa" w:w="1728"/>
            <w:vAlign w:val="top"/>
          </w:tcPr>
          <w:p>
            <w:r/>
            <w:r>
              <w:rPr>
                <w:b w:val="0"/>
                <w:color w:val="0F172A"/>
                <w:sz w:val="16"/>
              </w:rPr>
              <w:t>16.2%</w:t>
            </w:r>
          </w:p>
        </w:tc>
      </w:tr>
      <w:tr>
        <w:tc>
          <w:tcPr>
            <w:tcW w:type="dxa" w:w="2304"/>
            <w:vAlign w:val="top"/>
          </w:tcPr>
          <w:p>
            <w:r/>
            <w:r>
              <w:rPr>
                <w:b w:val="0"/>
                <w:color w:val="0F172A"/>
                <w:sz w:val="16"/>
              </w:rPr>
              <w:t>Paying Customers</w:t>
            </w:r>
          </w:p>
        </w:tc>
        <w:tc>
          <w:tcPr>
            <w:tcW w:type="dxa" w:w="1728"/>
            <w:vAlign w:val="top"/>
          </w:tcPr>
          <w:p>
            <w:r/>
            <w:r>
              <w:rPr>
                <w:b w:val="0"/>
                <w:color w:val="0F172A"/>
                <w:sz w:val="16"/>
              </w:rPr>
              <w:t>28</w:t>
            </w:r>
          </w:p>
        </w:tc>
        <w:tc>
          <w:tcPr>
            <w:tcW w:type="dxa" w:w="1728"/>
            <w:vAlign w:val="top"/>
          </w:tcPr>
          <w:p>
            <w:r/>
            <w:r>
              <w:rPr>
                <w:b w:val="0"/>
                <w:color w:val="0F172A"/>
                <w:sz w:val="16"/>
              </w:rPr>
              <w:t>220</w:t>
            </w:r>
          </w:p>
        </w:tc>
        <w:tc>
          <w:tcPr>
            <w:tcW w:type="dxa" w:w="1728"/>
            <w:vAlign w:val="top"/>
          </w:tcPr>
          <w:p>
            <w:r/>
            <w:r>
              <w:rPr>
                <w:b w:val="0"/>
                <w:color w:val="0F172A"/>
                <w:sz w:val="16"/>
              </w:rPr>
              <w:t>860</w:t>
            </w:r>
          </w:p>
        </w:tc>
        <w:tc>
          <w:tcPr>
            <w:tcW w:type="dxa" w:w="1728"/>
            <w:vAlign w:val="top"/>
          </w:tcPr>
          <w:p>
            <w:r/>
            <w:r>
              <w:rPr>
                <w:b w:val="0"/>
                <w:color w:val="0F172A"/>
                <w:sz w:val="16"/>
              </w:rPr>
              <w:t>1,920</w:t>
            </w:r>
          </w:p>
        </w:tc>
        <w:tc>
          <w:tcPr>
            <w:tcW w:type="dxa" w:w="1728"/>
            <w:vAlign w:val="top"/>
          </w:tcPr>
          <w:p>
            <w:r/>
            <w:r>
              <w:rPr>
                <w:b w:val="0"/>
                <w:color w:val="0F172A"/>
                <w:sz w:val="16"/>
              </w:rPr>
              <w:t>3,725</w:t>
            </w:r>
          </w:p>
        </w:tc>
      </w:tr>
      <w:tr>
        <w:tc>
          <w:tcPr>
            <w:tcW w:type="dxa" w:w="2304"/>
            <w:vAlign w:val="top"/>
          </w:tcPr>
          <w:p>
            <w:r/>
            <w:r>
              <w:rPr>
                <w:b w:val="0"/>
                <w:color w:val="0F172A"/>
                <w:sz w:val="16"/>
              </w:rPr>
              <w:t>Marketplace GMV</w:t>
            </w:r>
          </w:p>
        </w:tc>
        <w:tc>
          <w:tcPr>
            <w:tcW w:type="dxa" w:w="1728"/>
            <w:vAlign w:val="top"/>
          </w:tcPr>
          <w:p>
            <w:r/>
            <w:r>
              <w:rPr>
                <w:b w:val="0"/>
                <w:color w:val="0F172A"/>
                <w:sz w:val="16"/>
              </w:rPr>
              <w:t>$0</w:t>
            </w:r>
          </w:p>
        </w:tc>
        <w:tc>
          <w:tcPr>
            <w:tcW w:type="dxa" w:w="1728"/>
            <w:vAlign w:val="top"/>
          </w:tcPr>
          <w:p>
            <w:r/>
            <w:r>
              <w:rPr>
                <w:b w:val="0"/>
                <w:color w:val="0F172A"/>
                <w:sz w:val="16"/>
              </w:rPr>
              <w:t>$2,000,000</w:t>
            </w:r>
          </w:p>
        </w:tc>
        <w:tc>
          <w:tcPr>
            <w:tcW w:type="dxa" w:w="1728"/>
            <w:vAlign w:val="top"/>
          </w:tcPr>
          <w:p>
            <w:r/>
            <w:r>
              <w:rPr>
                <w:b w:val="0"/>
                <w:color w:val="0F172A"/>
                <w:sz w:val="16"/>
              </w:rPr>
              <w:t>$12,000,000</w:t>
            </w:r>
          </w:p>
        </w:tc>
        <w:tc>
          <w:tcPr>
            <w:tcW w:type="dxa" w:w="1728"/>
            <w:vAlign w:val="top"/>
          </w:tcPr>
          <w:p>
            <w:r/>
            <w:r>
              <w:rPr>
                <w:b w:val="0"/>
                <w:color w:val="0F172A"/>
                <w:sz w:val="16"/>
              </w:rPr>
              <w:t>$40,000,000</w:t>
            </w:r>
          </w:p>
        </w:tc>
        <w:tc>
          <w:tcPr>
            <w:tcW w:type="dxa" w:w="1728"/>
            <w:vAlign w:val="top"/>
          </w:tcPr>
          <w:p>
            <w:r/>
            <w:r>
              <w:rPr>
                <w:b w:val="0"/>
                <w:color w:val="0F172A"/>
                <w:sz w:val="16"/>
              </w:rPr>
              <w:t>$90,000,000</w:t>
            </w:r>
          </w:p>
        </w:tc>
      </w:tr>
    </w:tbl>
    <w:p>
      <w:pPr>
        <w:pStyle w:val="Heading1"/>
      </w:pPr>
      <w:r>
        <w:t>Monitoring, Evaluation, and Impact</w:t>
      </w:r>
    </w:p>
    <w:p>
      <w:r>
        <w:rPr>
          <w:b w:val="0"/>
        </w:rPr>
        <w:t>The project will track outputs, outcomes, and integrity safeguards. It will not claim emissions reductions unless credits are verified, retired, and supported by appropriate documentation. Public benefit will be measured through transparency outputs, SME access, project developer participation, training, and independent evaluation.</w:t>
      </w:r>
    </w:p>
    <w:tbl>
      <w:tblPr>
        <w:tblStyle w:val="TableGrid"/>
        <w:tblW w:type="auto" w:w="0"/>
        <w:jc w:val="center"/>
        <w:tblLook w:firstColumn="1" w:firstRow="1" w:lastColumn="0" w:lastRow="0" w:noHBand="0" w:noVBand="1" w:val="04A0"/>
      </w:tblPr>
      <w:tblGrid>
        <w:gridCol w:w="1440"/>
        <w:gridCol w:w="1440"/>
        <w:gridCol w:w="1440"/>
        <w:gridCol w:w="1440"/>
        <w:gridCol w:w="1440"/>
        <w:gridCol w:w="1440"/>
        <w:gridCol w:w="1440"/>
      </w:tblGrid>
      <w:tr>
        <w:tc>
          <w:tcPr>
            <w:tcW w:type="dxa" w:w="1872"/>
            <w:vAlign w:val="top"/>
            <w:shd w:fill="0F766E"/>
          </w:tcPr>
          <w:p>
            <w:r/>
            <w:r>
              <w:rPr>
                <w:b/>
                <w:color w:val="FFFFFF"/>
                <w:sz w:val="14"/>
              </w:rPr>
              <w:t>Objective</w:t>
            </w:r>
          </w:p>
        </w:tc>
        <w:tc>
          <w:tcPr>
            <w:tcW w:type="dxa" w:w="2448"/>
            <w:vAlign w:val="top"/>
            <w:shd w:fill="0F766E"/>
          </w:tcPr>
          <w:p>
            <w:r/>
            <w:r>
              <w:rPr>
                <w:b/>
                <w:color w:val="FFFFFF"/>
                <w:sz w:val="14"/>
              </w:rPr>
              <w:t>Indicator</w:t>
            </w:r>
          </w:p>
        </w:tc>
        <w:tc>
          <w:tcPr>
            <w:tcW w:type="dxa" w:w="1152"/>
            <w:vAlign w:val="top"/>
            <w:shd w:fill="0F766E"/>
          </w:tcPr>
          <w:p>
            <w:r/>
            <w:r>
              <w:rPr>
                <w:b/>
                <w:color w:val="FFFFFF"/>
                <w:sz w:val="14"/>
              </w:rPr>
              <w:t>Baseline</w:t>
            </w:r>
          </w:p>
        </w:tc>
        <w:tc>
          <w:tcPr>
            <w:tcW w:type="dxa" w:w="1296"/>
            <w:vAlign w:val="top"/>
            <w:shd w:fill="0F766E"/>
          </w:tcPr>
          <w:p>
            <w:r/>
            <w:r>
              <w:rPr>
                <w:b/>
                <w:color w:val="FFFFFF"/>
                <w:sz w:val="14"/>
              </w:rPr>
              <w:t>Year 1 Target</w:t>
            </w:r>
          </w:p>
        </w:tc>
        <w:tc>
          <w:tcPr>
            <w:tcW w:type="dxa" w:w="1296"/>
            <w:vAlign w:val="top"/>
            <w:shd w:fill="0F766E"/>
          </w:tcPr>
          <w:p>
            <w:r/>
            <w:r>
              <w:rPr>
                <w:b/>
                <w:color w:val="FFFFFF"/>
                <w:sz w:val="14"/>
              </w:rPr>
              <w:t>Year 2 Target</w:t>
            </w:r>
          </w:p>
        </w:tc>
        <w:tc>
          <w:tcPr>
            <w:tcW w:type="dxa" w:w="1728"/>
            <w:vAlign w:val="top"/>
            <w:shd w:fill="0F766E"/>
          </w:tcPr>
          <w:p>
            <w:r/>
            <w:r>
              <w:rPr>
                <w:b/>
                <w:color w:val="FFFFFF"/>
                <w:sz w:val="14"/>
              </w:rPr>
              <w:t>Data Source</w:t>
            </w:r>
          </w:p>
        </w:tc>
        <w:tc>
          <w:tcPr>
            <w:tcW w:type="dxa" w:w="1152"/>
            <w:vAlign w:val="top"/>
            <w:shd w:fill="0F766E"/>
          </w:tcPr>
          <w:p>
            <w:r/>
            <w:r>
              <w:rPr>
                <w:b/>
                <w:color w:val="FFFFFF"/>
                <w:sz w:val="14"/>
              </w:rPr>
              <w:t>Frequency</w:t>
            </w:r>
          </w:p>
        </w:tc>
      </w:tr>
      <w:tr>
        <w:tc>
          <w:tcPr>
            <w:tcW w:type="dxa" w:w="1872"/>
            <w:vAlign w:val="top"/>
          </w:tcPr>
          <w:p>
            <w:r/>
            <w:r>
              <w:rPr>
                <w:b w:val="0"/>
                <w:color w:val="0F172A"/>
                <w:sz w:val="14"/>
              </w:rPr>
              <w:t>Increase transparency of carbon credit information</w:t>
            </w:r>
          </w:p>
        </w:tc>
        <w:tc>
          <w:tcPr>
            <w:tcW w:type="dxa" w:w="2448"/>
            <w:vAlign w:val="top"/>
          </w:tcPr>
          <w:p>
            <w:r/>
            <w:r>
              <w:rPr>
                <w:b w:val="0"/>
                <w:color w:val="0F172A"/>
                <w:sz w:val="14"/>
              </w:rPr>
              <w:t>Standardized project profiles published in platform</w:t>
            </w:r>
          </w:p>
        </w:tc>
        <w:tc>
          <w:tcPr>
            <w:tcW w:type="dxa" w:w="1152"/>
            <w:vAlign w:val="top"/>
          </w:tcPr>
          <w:p>
            <w:r/>
            <w:r>
              <w:rPr>
                <w:b w:val="0"/>
                <w:color w:val="0F172A"/>
                <w:sz w:val="14"/>
              </w:rPr>
              <w:t>0</w:t>
            </w:r>
          </w:p>
        </w:tc>
        <w:tc>
          <w:tcPr>
            <w:tcW w:type="dxa" w:w="1296"/>
            <w:vAlign w:val="top"/>
          </w:tcPr>
          <w:p>
            <w:r/>
            <w:r>
              <w:rPr>
                <w:b w:val="0"/>
                <w:color w:val="0F172A"/>
                <w:sz w:val="14"/>
              </w:rPr>
              <w:t>50</w:t>
            </w:r>
          </w:p>
        </w:tc>
        <w:tc>
          <w:tcPr>
            <w:tcW w:type="dxa" w:w="1296"/>
            <w:vAlign w:val="top"/>
          </w:tcPr>
          <w:p>
            <w:r/>
            <w:r>
              <w:rPr>
                <w:b w:val="0"/>
                <w:color w:val="0F172A"/>
                <w:sz w:val="14"/>
              </w:rPr>
              <w:t>150</w:t>
            </w:r>
          </w:p>
        </w:tc>
        <w:tc>
          <w:tcPr>
            <w:tcW w:type="dxa" w:w="1728"/>
            <w:vAlign w:val="top"/>
          </w:tcPr>
          <w:p>
            <w:r/>
            <w:r>
              <w:rPr>
                <w:b w:val="0"/>
                <w:color w:val="0F172A"/>
                <w:sz w:val="14"/>
              </w:rPr>
              <w:t>Platform records and data QA logs</w:t>
            </w:r>
          </w:p>
        </w:tc>
        <w:tc>
          <w:tcPr>
            <w:tcW w:type="dxa" w:w="1152"/>
            <w:vAlign w:val="top"/>
          </w:tcPr>
          <w:p>
            <w:r/>
            <w:r>
              <w:rPr>
                <w:b w:val="0"/>
                <w:color w:val="0F172A"/>
                <w:sz w:val="14"/>
              </w:rPr>
              <w:t>Monthly</w:t>
            </w:r>
          </w:p>
        </w:tc>
      </w:tr>
      <w:tr>
        <w:tc>
          <w:tcPr>
            <w:tcW w:type="dxa" w:w="1872"/>
            <w:vAlign w:val="top"/>
          </w:tcPr>
          <w:p>
            <w:r/>
            <w:r>
              <w:rPr>
                <w:b w:val="0"/>
                <w:color w:val="0F172A"/>
                <w:sz w:val="14"/>
              </w:rPr>
              <w:t>Improve SME access to credible credits</w:t>
            </w:r>
          </w:p>
        </w:tc>
        <w:tc>
          <w:tcPr>
            <w:tcW w:type="dxa" w:w="2448"/>
            <w:vAlign w:val="top"/>
          </w:tcPr>
          <w:p>
            <w:r/>
            <w:r>
              <w:rPr>
                <w:b w:val="0"/>
                <w:color w:val="0F172A"/>
                <w:sz w:val="14"/>
              </w:rPr>
              <w:t>Pilot buyers onboarded</w:t>
            </w:r>
          </w:p>
        </w:tc>
        <w:tc>
          <w:tcPr>
            <w:tcW w:type="dxa" w:w="1152"/>
            <w:vAlign w:val="top"/>
          </w:tcPr>
          <w:p>
            <w:r/>
            <w:r>
              <w:rPr>
                <w:b w:val="0"/>
                <w:color w:val="0F172A"/>
                <w:sz w:val="14"/>
              </w:rPr>
              <w:t>0</w:t>
            </w:r>
          </w:p>
        </w:tc>
        <w:tc>
          <w:tcPr>
            <w:tcW w:type="dxa" w:w="1296"/>
            <w:vAlign w:val="top"/>
          </w:tcPr>
          <w:p>
            <w:r/>
            <w:r>
              <w:rPr>
                <w:b w:val="0"/>
                <w:color w:val="0F172A"/>
                <w:sz w:val="14"/>
              </w:rPr>
              <w:t>5-8</w:t>
            </w:r>
          </w:p>
        </w:tc>
        <w:tc>
          <w:tcPr>
            <w:tcW w:type="dxa" w:w="1296"/>
            <w:vAlign w:val="top"/>
          </w:tcPr>
          <w:p>
            <w:r/>
            <w:r>
              <w:rPr>
                <w:b w:val="0"/>
                <w:color w:val="0F172A"/>
                <w:sz w:val="14"/>
              </w:rPr>
              <w:t>10-20</w:t>
            </w:r>
          </w:p>
        </w:tc>
        <w:tc>
          <w:tcPr>
            <w:tcW w:type="dxa" w:w="1728"/>
            <w:vAlign w:val="top"/>
          </w:tcPr>
          <w:p>
            <w:r/>
            <w:r>
              <w:rPr>
                <w:b w:val="0"/>
                <w:color w:val="0F172A"/>
                <w:sz w:val="14"/>
              </w:rPr>
              <w:t>Signed pilot agreements, CRM</w:t>
            </w:r>
          </w:p>
        </w:tc>
        <w:tc>
          <w:tcPr>
            <w:tcW w:type="dxa" w:w="1152"/>
            <w:vAlign w:val="top"/>
          </w:tcPr>
          <w:p>
            <w:r/>
            <w:r>
              <w:rPr>
                <w:b w:val="0"/>
                <w:color w:val="0F172A"/>
                <w:sz w:val="14"/>
              </w:rPr>
              <w:t>Monthly</w:t>
            </w:r>
          </w:p>
        </w:tc>
      </w:tr>
      <w:tr>
        <w:tc>
          <w:tcPr>
            <w:tcW w:type="dxa" w:w="1872"/>
            <w:vAlign w:val="top"/>
          </w:tcPr>
          <w:p>
            <w:r/>
            <w:r>
              <w:rPr>
                <w:b w:val="0"/>
                <w:color w:val="0F172A"/>
                <w:sz w:val="14"/>
              </w:rPr>
              <w:t>Support project developer access to buyers</w:t>
            </w:r>
          </w:p>
        </w:tc>
        <w:tc>
          <w:tcPr>
            <w:tcW w:type="dxa" w:w="2448"/>
            <w:vAlign w:val="top"/>
          </w:tcPr>
          <w:p>
            <w:r/>
            <w:r>
              <w:rPr>
                <w:b w:val="0"/>
                <w:color w:val="0F172A"/>
                <w:sz w:val="14"/>
              </w:rPr>
              <w:t>Project developers onboarded</w:t>
            </w:r>
          </w:p>
        </w:tc>
        <w:tc>
          <w:tcPr>
            <w:tcW w:type="dxa" w:w="1152"/>
            <w:vAlign w:val="top"/>
          </w:tcPr>
          <w:p>
            <w:r/>
            <w:r>
              <w:rPr>
                <w:b w:val="0"/>
                <w:color w:val="0F172A"/>
                <w:sz w:val="14"/>
              </w:rPr>
              <w:t>0</w:t>
            </w:r>
          </w:p>
        </w:tc>
        <w:tc>
          <w:tcPr>
            <w:tcW w:type="dxa" w:w="1296"/>
            <w:vAlign w:val="top"/>
          </w:tcPr>
          <w:p>
            <w:r/>
            <w:r>
              <w:rPr>
                <w:b w:val="0"/>
                <w:color w:val="0F172A"/>
                <w:sz w:val="14"/>
              </w:rPr>
              <w:t>3-5</w:t>
            </w:r>
          </w:p>
        </w:tc>
        <w:tc>
          <w:tcPr>
            <w:tcW w:type="dxa" w:w="1296"/>
            <w:vAlign w:val="top"/>
          </w:tcPr>
          <w:p>
            <w:r/>
            <w:r>
              <w:rPr>
                <w:b w:val="0"/>
                <w:color w:val="0F172A"/>
                <w:sz w:val="14"/>
              </w:rPr>
              <w:t>5-10</w:t>
            </w:r>
          </w:p>
        </w:tc>
        <w:tc>
          <w:tcPr>
            <w:tcW w:type="dxa" w:w="1728"/>
            <w:vAlign w:val="top"/>
          </w:tcPr>
          <w:p>
            <w:r/>
            <w:r>
              <w:rPr>
                <w:b w:val="0"/>
                <w:color w:val="0F172A"/>
                <w:sz w:val="14"/>
              </w:rPr>
              <w:t>Onboarding records</w:t>
            </w:r>
          </w:p>
        </w:tc>
        <w:tc>
          <w:tcPr>
            <w:tcW w:type="dxa" w:w="1152"/>
            <w:vAlign w:val="top"/>
          </w:tcPr>
          <w:p>
            <w:r/>
            <w:r>
              <w:rPr>
                <w:b w:val="0"/>
                <w:color w:val="0F172A"/>
                <w:sz w:val="14"/>
              </w:rPr>
              <w:t>Quarterly</w:t>
            </w:r>
          </w:p>
        </w:tc>
      </w:tr>
      <w:tr>
        <w:tc>
          <w:tcPr>
            <w:tcW w:type="dxa" w:w="1872"/>
            <w:vAlign w:val="top"/>
          </w:tcPr>
          <w:p>
            <w:r/>
            <w:r>
              <w:rPr>
                <w:b w:val="0"/>
                <w:color w:val="0F172A"/>
                <w:sz w:val="14"/>
              </w:rPr>
              <w:t>Strengthen credit integrity screening</w:t>
            </w:r>
          </w:p>
        </w:tc>
        <w:tc>
          <w:tcPr>
            <w:tcW w:type="dxa" w:w="2448"/>
            <w:vAlign w:val="top"/>
          </w:tcPr>
          <w:p>
            <w:r/>
            <w:r>
              <w:rPr>
                <w:b w:val="0"/>
                <w:color w:val="0F172A"/>
                <w:sz w:val="14"/>
              </w:rPr>
              <w:t>Credits/projects screened using documented criteria</w:t>
            </w:r>
          </w:p>
        </w:tc>
        <w:tc>
          <w:tcPr>
            <w:tcW w:type="dxa" w:w="1152"/>
            <w:vAlign w:val="top"/>
          </w:tcPr>
          <w:p>
            <w:r/>
            <w:r>
              <w:rPr>
                <w:b w:val="0"/>
                <w:color w:val="0F172A"/>
                <w:sz w:val="14"/>
              </w:rPr>
              <w:t>0</w:t>
            </w:r>
          </w:p>
        </w:tc>
        <w:tc>
          <w:tcPr>
            <w:tcW w:type="dxa" w:w="1296"/>
            <w:vAlign w:val="top"/>
          </w:tcPr>
          <w:p>
            <w:r/>
            <w:r>
              <w:rPr>
                <w:b w:val="0"/>
                <w:color w:val="0F172A"/>
                <w:sz w:val="14"/>
              </w:rPr>
              <w:t>50 projects</w:t>
            </w:r>
          </w:p>
        </w:tc>
        <w:tc>
          <w:tcPr>
            <w:tcW w:type="dxa" w:w="1296"/>
            <w:vAlign w:val="top"/>
          </w:tcPr>
          <w:p>
            <w:r/>
            <w:r>
              <w:rPr>
                <w:b w:val="0"/>
                <w:color w:val="0F172A"/>
                <w:sz w:val="14"/>
              </w:rPr>
              <w:t>150 projects</w:t>
            </w:r>
          </w:p>
        </w:tc>
        <w:tc>
          <w:tcPr>
            <w:tcW w:type="dxa" w:w="1728"/>
            <w:vAlign w:val="top"/>
          </w:tcPr>
          <w:p>
            <w:r/>
            <w:r>
              <w:rPr>
                <w:b w:val="0"/>
                <w:color w:val="0F172A"/>
                <w:sz w:val="14"/>
              </w:rPr>
              <w:t>Scoring logs and methodology review</w:t>
            </w:r>
          </w:p>
        </w:tc>
        <w:tc>
          <w:tcPr>
            <w:tcW w:type="dxa" w:w="1152"/>
            <w:vAlign w:val="top"/>
          </w:tcPr>
          <w:p>
            <w:r/>
            <w:r>
              <w:rPr>
                <w:b w:val="0"/>
                <w:color w:val="0F172A"/>
                <w:sz w:val="14"/>
              </w:rPr>
              <w:t>Monthly</w:t>
            </w:r>
          </w:p>
        </w:tc>
      </w:tr>
      <w:tr>
        <w:tc>
          <w:tcPr>
            <w:tcW w:type="dxa" w:w="1872"/>
            <w:vAlign w:val="top"/>
          </w:tcPr>
          <w:p>
            <w:r/>
            <w:r>
              <w:rPr>
                <w:b w:val="0"/>
                <w:color w:val="0F172A"/>
                <w:sz w:val="14"/>
              </w:rPr>
              <w:t>Enable auditable reporting</w:t>
            </w:r>
          </w:p>
        </w:tc>
        <w:tc>
          <w:tcPr>
            <w:tcW w:type="dxa" w:w="2448"/>
            <w:vAlign w:val="top"/>
          </w:tcPr>
          <w:p>
            <w:r/>
            <w:r>
              <w:rPr>
                <w:b w:val="0"/>
                <w:color w:val="0F172A"/>
                <w:sz w:val="14"/>
              </w:rPr>
              <w:t>Buyer reports generated with audit trail</w:t>
            </w:r>
          </w:p>
        </w:tc>
        <w:tc>
          <w:tcPr>
            <w:tcW w:type="dxa" w:w="1152"/>
            <w:vAlign w:val="top"/>
          </w:tcPr>
          <w:p>
            <w:r/>
            <w:r>
              <w:rPr>
                <w:b w:val="0"/>
                <w:color w:val="0F172A"/>
                <w:sz w:val="14"/>
              </w:rPr>
              <w:t>0</w:t>
            </w:r>
          </w:p>
        </w:tc>
        <w:tc>
          <w:tcPr>
            <w:tcW w:type="dxa" w:w="1296"/>
            <w:vAlign w:val="top"/>
          </w:tcPr>
          <w:p>
            <w:r/>
            <w:r>
              <w:rPr>
                <w:b w:val="0"/>
                <w:color w:val="0F172A"/>
                <w:sz w:val="14"/>
              </w:rPr>
              <w:t>10</w:t>
            </w:r>
          </w:p>
        </w:tc>
        <w:tc>
          <w:tcPr>
            <w:tcW w:type="dxa" w:w="1296"/>
            <w:vAlign w:val="top"/>
          </w:tcPr>
          <w:p>
            <w:r/>
            <w:r>
              <w:rPr>
                <w:b w:val="0"/>
                <w:color w:val="0F172A"/>
                <w:sz w:val="14"/>
              </w:rPr>
              <w:t>50</w:t>
            </w:r>
          </w:p>
        </w:tc>
        <w:tc>
          <w:tcPr>
            <w:tcW w:type="dxa" w:w="1728"/>
            <w:vAlign w:val="top"/>
          </w:tcPr>
          <w:p>
            <w:r/>
            <w:r>
              <w:rPr>
                <w:b w:val="0"/>
                <w:color w:val="0F172A"/>
                <w:sz w:val="14"/>
              </w:rPr>
              <w:t>Platform logs and report samples</w:t>
            </w:r>
          </w:p>
        </w:tc>
        <w:tc>
          <w:tcPr>
            <w:tcW w:type="dxa" w:w="1152"/>
            <w:vAlign w:val="top"/>
          </w:tcPr>
          <w:p>
            <w:r/>
            <w:r>
              <w:rPr>
                <w:b w:val="0"/>
                <w:color w:val="0F172A"/>
                <w:sz w:val="14"/>
              </w:rPr>
              <w:t>Quarterly</w:t>
            </w:r>
          </w:p>
        </w:tc>
      </w:tr>
      <w:tr>
        <w:tc>
          <w:tcPr>
            <w:tcW w:type="dxa" w:w="1872"/>
            <w:vAlign w:val="top"/>
          </w:tcPr>
          <w:p>
            <w:r/>
            <w:r>
              <w:rPr>
                <w:b w:val="0"/>
                <w:color w:val="0F172A"/>
                <w:sz w:val="14"/>
              </w:rPr>
              <w:t>Build public learning</w:t>
            </w:r>
          </w:p>
        </w:tc>
        <w:tc>
          <w:tcPr>
            <w:tcW w:type="dxa" w:w="2448"/>
            <w:vAlign w:val="top"/>
          </w:tcPr>
          <w:p>
            <w:r/>
            <w:r>
              <w:rPr>
                <w:b w:val="0"/>
                <w:color w:val="0F172A"/>
                <w:sz w:val="14"/>
              </w:rPr>
              <w:t>Workshops/webinars delivered</w:t>
            </w:r>
          </w:p>
        </w:tc>
        <w:tc>
          <w:tcPr>
            <w:tcW w:type="dxa" w:w="1152"/>
            <w:vAlign w:val="top"/>
          </w:tcPr>
          <w:p>
            <w:r/>
            <w:r>
              <w:rPr>
                <w:b w:val="0"/>
                <w:color w:val="0F172A"/>
                <w:sz w:val="14"/>
              </w:rPr>
              <w:t>0</w:t>
            </w:r>
          </w:p>
        </w:tc>
        <w:tc>
          <w:tcPr>
            <w:tcW w:type="dxa" w:w="1296"/>
            <w:vAlign w:val="top"/>
          </w:tcPr>
          <w:p>
            <w:r/>
            <w:r>
              <w:rPr>
                <w:b w:val="0"/>
                <w:color w:val="0F172A"/>
                <w:sz w:val="14"/>
              </w:rPr>
              <w:t>3</w:t>
            </w:r>
          </w:p>
        </w:tc>
        <w:tc>
          <w:tcPr>
            <w:tcW w:type="dxa" w:w="1296"/>
            <w:vAlign w:val="top"/>
          </w:tcPr>
          <w:p>
            <w:r/>
            <w:r>
              <w:rPr>
                <w:b w:val="0"/>
                <w:color w:val="0F172A"/>
                <w:sz w:val="14"/>
              </w:rPr>
              <w:t>8</w:t>
            </w:r>
          </w:p>
        </w:tc>
        <w:tc>
          <w:tcPr>
            <w:tcW w:type="dxa" w:w="1728"/>
            <w:vAlign w:val="top"/>
          </w:tcPr>
          <w:p>
            <w:r/>
            <w:r>
              <w:rPr>
                <w:b w:val="0"/>
                <w:color w:val="0F172A"/>
                <w:sz w:val="14"/>
              </w:rPr>
              <w:t>Event records, attendance logs</w:t>
            </w:r>
          </w:p>
        </w:tc>
        <w:tc>
          <w:tcPr>
            <w:tcW w:type="dxa" w:w="1152"/>
            <w:vAlign w:val="top"/>
          </w:tcPr>
          <w:p>
            <w:r/>
            <w:r>
              <w:rPr>
                <w:b w:val="0"/>
                <w:color w:val="0F172A"/>
                <w:sz w:val="14"/>
              </w:rPr>
              <w:t>Quarterly</w:t>
            </w:r>
          </w:p>
        </w:tc>
      </w:tr>
      <w:tr>
        <w:tc>
          <w:tcPr>
            <w:tcW w:type="dxa" w:w="1872"/>
            <w:vAlign w:val="top"/>
          </w:tcPr>
          <w:p>
            <w:r/>
            <w:r>
              <w:rPr>
                <w:b w:val="0"/>
                <w:color w:val="0F172A"/>
                <w:sz w:val="14"/>
              </w:rPr>
              <w:t>Measure adoption and user value</w:t>
            </w:r>
          </w:p>
        </w:tc>
        <w:tc>
          <w:tcPr>
            <w:tcW w:type="dxa" w:w="2448"/>
            <w:vAlign w:val="top"/>
          </w:tcPr>
          <w:p>
            <w:r/>
            <w:r>
              <w:rPr>
                <w:b w:val="0"/>
                <w:color w:val="0F172A"/>
                <w:sz w:val="14"/>
              </w:rPr>
              <w:t>Average pilot user satisfaction score</w:t>
            </w:r>
          </w:p>
        </w:tc>
        <w:tc>
          <w:tcPr>
            <w:tcW w:type="dxa" w:w="1152"/>
            <w:vAlign w:val="top"/>
          </w:tcPr>
          <w:p>
            <w:r/>
            <w:r>
              <w:rPr>
                <w:b w:val="0"/>
                <w:color w:val="0F172A"/>
                <w:sz w:val="14"/>
              </w:rPr>
              <w:t>No baseline</w:t>
            </w:r>
          </w:p>
        </w:tc>
        <w:tc>
          <w:tcPr>
            <w:tcW w:type="dxa" w:w="1296"/>
            <w:vAlign w:val="top"/>
          </w:tcPr>
          <w:p>
            <w:r/>
            <w:r>
              <w:rPr>
                <w:b w:val="0"/>
                <w:color w:val="0F172A"/>
                <w:sz w:val="14"/>
              </w:rPr>
              <w:t>&gt;= 75%</w:t>
            </w:r>
          </w:p>
        </w:tc>
        <w:tc>
          <w:tcPr>
            <w:tcW w:type="dxa" w:w="1296"/>
            <w:vAlign w:val="top"/>
          </w:tcPr>
          <w:p>
            <w:r/>
            <w:r>
              <w:rPr>
                <w:b w:val="0"/>
                <w:color w:val="0F172A"/>
                <w:sz w:val="14"/>
              </w:rPr>
              <w:t>&gt;= 80%</w:t>
            </w:r>
          </w:p>
        </w:tc>
        <w:tc>
          <w:tcPr>
            <w:tcW w:type="dxa" w:w="1728"/>
            <w:vAlign w:val="top"/>
          </w:tcPr>
          <w:p>
            <w:r/>
            <w:r>
              <w:rPr>
                <w:b w:val="0"/>
                <w:color w:val="0F172A"/>
                <w:sz w:val="14"/>
              </w:rPr>
              <w:t>User surveys</w:t>
            </w:r>
          </w:p>
        </w:tc>
        <w:tc>
          <w:tcPr>
            <w:tcW w:type="dxa" w:w="1152"/>
            <w:vAlign w:val="top"/>
          </w:tcPr>
          <w:p>
            <w:r/>
            <w:r>
              <w:rPr>
                <w:b w:val="0"/>
                <w:color w:val="0F172A"/>
                <w:sz w:val="14"/>
              </w:rPr>
              <w:t>Quarterly</w:t>
            </w:r>
          </w:p>
        </w:tc>
      </w:tr>
      <w:tr>
        <w:tc>
          <w:tcPr>
            <w:tcW w:type="dxa" w:w="1872"/>
            <w:vAlign w:val="top"/>
          </w:tcPr>
          <w:p>
            <w:r/>
            <w:r>
              <w:rPr>
                <w:b w:val="0"/>
                <w:color w:val="0F172A"/>
                <w:sz w:val="14"/>
              </w:rPr>
              <w:t>Protect data and security</w:t>
            </w:r>
          </w:p>
        </w:tc>
        <w:tc>
          <w:tcPr>
            <w:tcW w:type="dxa" w:w="2448"/>
            <w:vAlign w:val="top"/>
          </w:tcPr>
          <w:p>
            <w:r/>
            <w:r>
              <w:rPr>
                <w:b w:val="0"/>
                <w:color w:val="0F172A"/>
                <w:sz w:val="14"/>
              </w:rPr>
              <w:t>Critical security incidents</w:t>
            </w:r>
          </w:p>
        </w:tc>
        <w:tc>
          <w:tcPr>
            <w:tcW w:type="dxa" w:w="1152"/>
            <w:vAlign w:val="top"/>
          </w:tcPr>
          <w:p>
            <w:r/>
            <w:r>
              <w:rPr>
                <w:b w:val="0"/>
                <w:color w:val="0F172A"/>
                <w:sz w:val="14"/>
              </w:rPr>
              <w:t>0</w:t>
            </w:r>
          </w:p>
        </w:tc>
        <w:tc>
          <w:tcPr>
            <w:tcW w:type="dxa" w:w="1296"/>
            <w:vAlign w:val="top"/>
          </w:tcPr>
          <w:p>
            <w:r/>
            <w:r>
              <w:rPr>
                <w:b w:val="0"/>
                <w:color w:val="0F172A"/>
                <w:sz w:val="14"/>
              </w:rPr>
              <w:t>0</w:t>
            </w:r>
          </w:p>
        </w:tc>
        <w:tc>
          <w:tcPr>
            <w:tcW w:type="dxa" w:w="1296"/>
            <w:vAlign w:val="top"/>
          </w:tcPr>
          <w:p>
            <w:r/>
            <w:r>
              <w:rPr>
                <w:b w:val="0"/>
                <w:color w:val="0F172A"/>
                <w:sz w:val="14"/>
              </w:rPr>
              <w:t>0</w:t>
            </w:r>
          </w:p>
        </w:tc>
        <w:tc>
          <w:tcPr>
            <w:tcW w:type="dxa" w:w="1728"/>
            <w:vAlign w:val="top"/>
          </w:tcPr>
          <w:p>
            <w:r/>
            <w:r>
              <w:rPr>
                <w:b w:val="0"/>
                <w:color w:val="0F172A"/>
                <w:sz w:val="14"/>
              </w:rPr>
              <w:t>Incident log</w:t>
            </w:r>
          </w:p>
        </w:tc>
        <w:tc>
          <w:tcPr>
            <w:tcW w:type="dxa" w:w="1152"/>
            <w:vAlign w:val="top"/>
          </w:tcPr>
          <w:p>
            <w:r/>
            <w:r>
              <w:rPr>
                <w:b w:val="0"/>
                <w:color w:val="0F172A"/>
                <w:sz w:val="14"/>
              </w:rPr>
              <w:t>Monthly</w:t>
            </w:r>
          </w:p>
        </w:tc>
      </w:tr>
      <w:tr>
        <w:tc>
          <w:tcPr>
            <w:tcW w:type="dxa" w:w="1872"/>
            <w:vAlign w:val="top"/>
          </w:tcPr>
          <w:p>
            <w:r/>
            <w:r>
              <w:rPr>
                <w:b w:val="0"/>
                <w:color w:val="0F172A"/>
                <w:sz w:val="14"/>
              </w:rPr>
              <w:t>Ensure grant accountability</w:t>
            </w:r>
          </w:p>
        </w:tc>
        <w:tc>
          <w:tcPr>
            <w:tcW w:type="dxa" w:w="2448"/>
            <w:vAlign w:val="top"/>
          </w:tcPr>
          <w:p>
            <w:r/>
            <w:r>
              <w:rPr>
                <w:b w:val="0"/>
                <w:color w:val="0F172A"/>
                <w:sz w:val="14"/>
              </w:rPr>
              <w:t>Reports submitted on time</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Grant reporting calendar</w:t>
            </w:r>
          </w:p>
        </w:tc>
        <w:tc>
          <w:tcPr>
            <w:tcW w:type="dxa" w:w="1152"/>
            <w:vAlign w:val="top"/>
          </w:tcPr>
          <w:p>
            <w:r/>
            <w:r>
              <w:rPr>
                <w:b w:val="0"/>
                <w:color w:val="0F172A"/>
                <w:sz w:val="14"/>
              </w:rPr>
              <w:t>Quarterly</w:t>
            </w:r>
          </w:p>
        </w:tc>
      </w:tr>
      <w:tr>
        <w:tc>
          <w:tcPr>
            <w:tcW w:type="dxa" w:w="1872"/>
            <w:vAlign w:val="top"/>
          </w:tcPr>
          <w:p>
            <w:r/>
            <w:r>
              <w:rPr>
                <w:b w:val="0"/>
                <w:color w:val="0F172A"/>
                <w:sz w:val="14"/>
              </w:rPr>
              <w:t>Avoid overclaiming climate impact</w:t>
            </w:r>
          </w:p>
        </w:tc>
        <w:tc>
          <w:tcPr>
            <w:tcW w:type="dxa" w:w="2448"/>
            <w:vAlign w:val="top"/>
          </w:tcPr>
          <w:p>
            <w:r/>
            <w:r>
              <w:rPr>
                <w:b w:val="0"/>
                <w:color w:val="0F172A"/>
                <w:sz w:val="14"/>
              </w:rPr>
              <w:t>Emissions impact claims verified before publication</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Claims review log</w:t>
            </w:r>
          </w:p>
        </w:tc>
        <w:tc>
          <w:tcPr>
            <w:tcW w:type="dxa" w:w="1152"/>
            <w:vAlign w:val="top"/>
          </w:tcPr>
          <w:p>
            <w:r/>
            <w:r>
              <w:rPr>
                <w:b w:val="0"/>
                <w:color w:val="0F172A"/>
                <w:sz w:val="14"/>
              </w:rPr>
              <w:t>Per claim</w:t>
            </w:r>
          </w:p>
        </w:tc>
      </w:tr>
    </w:tbl>
    <w:p>
      <w:pPr>
        <w:pStyle w:val="Heading1"/>
      </w:pPr>
      <w:r>
        <w:t>Risk Assessment</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592"/>
            <w:vAlign w:val="top"/>
            <w:shd w:fill="0F766E"/>
          </w:tcPr>
          <w:p>
            <w:r/>
            <w:r>
              <w:rPr>
                <w:b/>
                <w:color w:val="FFFFFF"/>
                <w:sz w:val="14"/>
              </w:rPr>
              <w:t>Risk</w:t>
            </w:r>
          </w:p>
        </w:tc>
        <w:tc>
          <w:tcPr>
            <w:tcW w:type="dxa" w:w="1152"/>
            <w:vAlign w:val="top"/>
            <w:shd w:fill="0F766E"/>
          </w:tcPr>
          <w:p>
            <w:r/>
            <w:r>
              <w:rPr>
                <w:b/>
                <w:color w:val="FFFFFF"/>
                <w:sz w:val="14"/>
              </w:rPr>
              <w:t>Likelihood</w:t>
            </w:r>
          </w:p>
        </w:tc>
        <w:tc>
          <w:tcPr>
            <w:tcW w:type="dxa" w:w="1152"/>
            <w:vAlign w:val="top"/>
            <w:shd w:fill="0F766E"/>
          </w:tcPr>
          <w:p>
            <w:r/>
            <w:r>
              <w:rPr>
                <w:b/>
                <w:color w:val="FFFFFF"/>
                <w:sz w:val="14"/>
              </w:rPr>
              <w:t>Impact</w:t>
            </w:r>
          </w:p>
        </w:tc>
        <w:tc>
          <w:tcPr>
            <w:tcW w:type="dxa" w:w="4320"/>
            <w:vAlign w:val="top"/>
            <w:shd w:fill="0F766E"/>
          </w:tcPr>
          <w:p>
            <w:r/>
            <w:r>
              <w:rPr>
                <w:b/>
                <w:color w:val="FFFFFF"/>
                <w:sz w:val="14"/>
              </w:rPr>
              <w:t>Mitigation</w:t>
            </w:r>
          </w:p>
        </w:tc>
        <w:tc>
          <w:tcPr>
            <w:tcW w:type="dxa" w:w="1296"/>
            <w:vAlign w:val="top"/>
            <w:shd w:fill="0F766E"/>
          </w:tcPr>
          <w:p>
            <w:r/>
            <w:r>
              <w:rPr>
                <w:b/>
                <w:color w:val="FFFFFF"/>
                <w:sz w:val="14"/>
              </w:rPr>
              <w:t>Residual Risk</w:t>
            </w:r>
          </w:p>
        </w:tc>
      </w:tr>
      <w:tr>
        <w:tc>
          <w:tcPr>
            <w:tcW w:type="dxa" w:w="2592"/>
            <w:vAlign w:val="top"/>
          </w:tcPr>
          <w:p>
            <w:r/>
            <w:r>
              <w:rPr>
                <w:b w:val="0"/>
                <w:color w:val="0F172A"/>
                <w:sz w:val="14"/>
              </w:rPr>
              <w:t>Applicant eligibility not confirmed</w:t>
            </w:r>
          </w:p>
        </w:tc>
        <w:tc>
          <w:tcPr>
            <w:tcW w:type="dxa" w:w="1152"/>
            <w:vAlign w:val="top"/>
          </w:tcPr>
          <w:p>
            <w:r/>
            <w:r>
              <w:rPr>
                <w:b w:val="0"/>
                <w:color w:val="0F172A"/>
                <w:sz w:val="14"/>
              </w:rPr>
              <w:t>High</w:t>
            </w:r>
          </w:p>
        </w:tc>
        <w:tc>
          <w:tcPr>
            <w:tcW w:type="dxa" w:w="1152"/>
            <w:vAlign w:val="top"/>
          </w:tcPr>
          <w:p>
            <w:r/>
            <w:r>
              <w:rPr>
                <w:b w:val="0"/>
                <w:color w:val="0F172A"/>
                <w:sz w:val="14"/>
              </w:rPr>
              <w:t>High</w:t>
            </w:r>
          </w:p>
        </w:tc>
        <w:tc>
          <w:tcPr>
            <w:tcW w:type="dxa" w:w="4320"/>
            <w:vAlign w:val="top"/>
          </w:tcPr>
          <w:p>
            <w:r/>
            <w:r>
              <w:rPr>
                <w:b w:val="0"/>
                <w:color w:val="0F172A"/>
                <w:sz w:val="14"/>
              </w:rPr>
              <w:t>Confirm legal entity, jurisdiction, and grant program requirements before submission.</w:t>
            </w:r>
          </w:p>
        </w:tc>
        <w:tc>
          <w:tcPr>
            <w:tcW w:type="dxa" w:w="1296"/>
            <w:vAlign w:val="top"/>
          </w:tcPr>
          <w:p>
            <w:r/>
            <w:r>
              <w:rPr>
                <w:b w:val="0"/>
                <w:color w:val="0F172A"/>
                <w:sz w:val="14"/>
              </w:rPr>
              <w:t>Medium</w:t>
            </w:r>
          </w:p>
        </w:tc>
      </w:tr>
      <w:tr>
        <w:tc>
          <w:tcPr>
            <w:tcW w:type="dxa" w:w="2592"/>
            <w:vAlign w:val="top"/>
          </w:tcPr>
          <w:p>
            <w:r/>
            <w:r>
              <w:rPr>
                <w:b w:val="0"/>
                <w:color w:val="0F172A"/>
                <w:sz w:val="14"/>
              </w:rPr>
              <w:t>Carbon credit integrity concerns</w:t>
            </w:r>
          </w:p>
        </w:tc>
        <w:tc>
          <w:tcPr>
            <w:tcW w:type="dxa" w:w="1152"/>
            <w:vAlign w:val="top"/>
          </w:tcPr>
          <w:p>
            <w:r/>
            <w:r>
              <w:rPr>
                <w:b w:val="0"/>
                <w:color w:val="0F172A"/>
                <w:sz w:val="14"/>
              </w:rPr>
              <w:t>High</w:t>
            </w:r>
          </w:p>
        </w:tc>
        <w:tc>
          <w:tcPr>
            <w:tcW w:type="dxa" w:w="1152"/>
            <w:vAlign w:val="top"/>
          </w:tcPr>
          <w:p>
            <w:r/>
            <w:r>
              <w:rPr>
                <w:b w:val="0"/>
                <w:color w:val="0F172A"/>
                <w:sz w:val="14"/>
              </w:rPr>
              <w:t>High</w:t>
            </w:r>
          </w:p>
        </w:tc>
        <w:tc>
          <w:tcPr>
            <w:tcW w:type="dxa" w:w="4320"/>
            <w:vAlign w:val="top"/>
          </w:tcPr>
          <w:p>
            <w:r/>
            <w:r>
              <w:rPr>
                <w:b w:val="0"/>
                <w:color w:val="0F172A"/>
                <w:sz w:val="14"/>
              </w:rPr>
              <w:t>Use ICVCM/VCMI-aligned criteria, independent expert review, transparent methodology, and conservative claims.</w:t>
            </w:r>
          </w:p>
        </w:tc>
        <w:tc>
          <w:tcPr>
            <w:tcW w:type="dxa" w:w="1296"/>
            <w:vAlign w:val="top"/>
          </w:tcPr>
          <w:p>
            <w:r/>
            <w:r>
              <w:rPr>
                <w:b w:val="0"/>
                <w:color w:val="0F172A"/>
                <w:sz w:val="14"/>
              </w:rPr>
              <w:t>Medium</w:t>
            </w:r>
          </w:p>
        </w:tc>
      </w:tr>
      <w:tr>
        <w:tc>
          <w:tcPr>
            <w:tcW w:type="dxa" w:w="2592"/>
            <w:vAlign w:val="top"/>
          </w:tcPr>
          <w:p>
            <w:r/>
            <w:r>
              <w:rPr>
                <w:b w:val="0"/>
                <w:color w:val="0F172A"/>
                <w:sz w:val="14"/>
              </w:rPr>
              <w:t>Regulatory/licensing exposure</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Obtain legal opinion on trading, brokerage, payments, AML/KYC, sanctions, and escrow structures.</w:t>
            </w:r>
          </w:p>
        </w:tc>
        <w:tc>
          <w:tcPr>
            <w:tcW w:type="dxa" w:w="1296"/>
            <w:vAlign w:val="top"/>
          </w:tcPr>
          <w:p>
            <w:r/>
            <w:r>
              <w:rPr>
                <w:b w:val="0"/>
                <w:color w:val="0F172A"/>
                <w:sz w:val="14"/>
              </w:rPr>
              <w:t>Medium</w:t>
            </w:r>
          </w:p>
        </w:tc>
      </w:tr>
      <w:tr>
        <w:tc>
          <w:tcPr>
            <w:tcW w:type="dxa" w:w="2592"/>
            <w:vAlign w:val="top"/>
          </w:tcPr>
          <w:p>
            <w:r/>
            <w:r>
              <w:rPr>
                <w:b w:val="0"/>
                <w:color w:val="0F172A"/>
                <w:sz w:val="14"/>
              </w:rPr>
              <w:t>Overstated financial projections</w:t>
            </w:r>
          </w:p>
        </w:tc>
        <w:tc>
          <w:tcPr>
            <w:tcW w:type="dxa" w:w="1152"/>
            <w:vAlign w:val="top"/>
          </w:tcPr>
          <w:p>
            <w:r/>
            <w:r>
              <w:rPr>
                <w:b w:val="0"/>
                <w:color w:val="0F172A"/>
                <w:sz w:val="14"/>
              </w:rPr>
              <w:t>High</w:t>
            </w:r>
          </w:p>
        </w:tc>
        <w:tc>
          <w:tcPr>
            <w:tcW w:type="dxa" w:w="1152"/>
            <w:vAlign w:val="top"/>
          </w:tcPr>
          <w:p>
            <w:r/>
            <w:r>
              <w:rPr>
                <w:b w:val="0"/>
                <w:color w:val="0F172A"/>
                <w:sz w:val="14"/>
              </w:rPr>
              <w:t>High</w:t>
            </w:r>
          </w:p>
        </w:tc>
        <w:tc>
          <w:tcPr>
            <w:tcW w:type="dxa" w:w="4320"/>
            <w:vAlign w:val="top"/>
          </w:tcPr>
          <w:p>
            <w:r/>
            <w:r>
              <w:rPr>
                <w:b w:val="0"/>
                <w:color w:val="0F172A"/>
                <w:sz w:val="14"/>
              </w:rPr>
              <w:t>Use conservative base case; treat original $120M-$155M Year 5 case as unvalidated upside.</w:t>
            </w:r>
          </w:p>
        </w:tc>
        <w:tc>
          <w:tcPr>
            <w:tcW w:type="dxa" w:w="1296"/>
            <w:vAlign w:val="top"/>
          </w:tcPr>
          <w:p>
            <w:r/>
            <w:r>
              <w:rPr>
                <w:b w:val="0"/>
                <w:color w:val="0F172A"/>
                <w:sz w:val="14"/>
              </w:rPr>
              <w:t>Medium</w:t>
            </w:r>
          </w:p>
        </w:tc>
      </w:tr>
      <w:tr>
        <w:tc>
          <w:tcPr>
            <w:tcW w:type="dxa" w:w="2592"/>
            <w:vAlign w:val="top"/>
          </w:tcPr>
          <w:p>
            <w:r/>
            <w:r>
              <w:rPr>
                <w:b w:val="0"/>
                <w:color w:val="0F172A"/>
                <w:sz w:val="14"/>
              </w:rPr>
              <w:t>No confirmed pilot customers</w:t>
            </w:r>
          </w:p>
        </w:tc>
        <w:tc>
          <w:tcPr>
            <w:tcW w:type="dxa" w:w="1152"/>
            <w:vAlign w:val="top"/>
          </w:tcPr>
          <w:p>
            <w:r/>
            <w:r>
              <w:rPr>
                <w:b w:val="0"/>
                <w:color w:val="0F172A"/>
                <w:sz w:val="14"/>
              </w:rPr>
              <w:t>High</w:t>
            </w:r>
          </w:p>
        </w:tc>
        <w:tc>
          <w:tcPr>
            <w:tcW w:type="dxa" w:w="1152"/>
            <w:vAlign w:val="top"/>
          </w:tcPr>
          <w:p>
            <w:r/>
            <w:r>
              <w:rPr>
                <w:b w:val="0"/>
                <w:color w:val="0F172A"/>
                <w:sz w:val="14"/>
              </w:rPr>
              <w:t>High</w:t>
            </w:r>
          </w:p>
        </w:tc>
        <w:tc>
          <w:tcPr>
            <w:tcW w:type="dxa" w:w="4320"/>
            <w:vAlign w:val="top"/>
          </w:tcPr>
          <w:p>
            <w:r/>
            <w:r>
              <w:rPr>
                <w:b w:val="0"/>
                <w:color w:val="0F172A"/>
                <w:sz w:val="14"/>
              </w:rPr>
              <w:t>Secure LOIs and define pilot recruitment milestones before submission.</w:t>
            </w:r>
          </w:p>
        </w:tc>
        <w:tc>
          <w:tcPr>
            <w:tcW w:type="dxa" w:w="1296"/>
            <w:vAlign w:val="top"/>
          </w:tcPr>
          <w:p>
            <w:r/>
            <w:r>
              <w:rPr>
                <w:b w:val="0"/>
                <w:color w:val="0F172A"/>
                <w:sz w:val="14"/>
              </w:rPr>
              <w:t>Medium</w:t>
            </w:r>
          </w:p>
        </w:tc>
      </w:tr>
      <w:tr>
        <w:tc>
          <w:tcPr>
            <w:tcW w:type="dxa" w:w="2592"/>
            <w:vAlign w:val="top"/>
          </w:tcPr>
          <w:p>
            <w:r/>
            <w:r>
              <w:rPr>
                <w:b w:val="0"/>
                <w:color w:val="0F172A"/>
                <w:sz w:val="14"/>
              </w:rPr>
              <w:t>Data rights and quality gaps</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Document data sources, licenses, registry terms, quality checks, and audit trails.</w:t>
            </w:r>
          </w:p>
        </w:tc>
        <w:tc>
          <w:tcPr>
            <w:tcW w:type="dxa" w:w="1296"/>
            <w:vAlign w:val="top"/>
          </w:tcPr>
          <w:p>
            <w:r/>
            <w:r>
              <w:rPr>
                <w:b w:val="0"/>
                <w:color w:val="0F172A"/>
                <w:sz w:val="14"/>
              </w:rPr>
              <w:t>Medium</w:t>
            </w:r>
          </w:p>
        </w:tc>
      </w:tr>
      <w:tr>
        <w:tc>
          <w:tcPr>
            <w:tcW w:type="dxa" w:w="2592"/>
            <w:vAlign w:val="top"/>
          </w:tcPr>
          <w:p>
            <w:r/>
            <w:r>
              <w:rPr>
                <w:b w:val="0"/>
                <w:color w:val="0F172A"/>
                <w:sz w:val="14"/>
              </w:rPr>
              <w:t>Cybersecurity/privacy breach</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Implement DPIA, encryption, access controls, penetration testing, incident response, and vendor due diligence.</w:t>
            </w:r>
          </w:p>
        </w:tc>
        <w:tc>
          <w:tcPr>
            <w:tcW w:type="dxa" w:w="1296"/>
            <w:vAlign w:val="top"/>
          </w:tcPr>
          <w:p>
            <w:r/>
            <w:r>
              <w:rPr>
                <w:b w:val="0"/>
                <w:color w:val="0F172A"/>
                <w:sz w:val="14"/>
              </w:rPr>
              <w:t>Medium</w:t>
            </w:r>
          </w:p>
        </w:tc>
      </w:tr>
      <w:tr>
        <w:tc>
          <w:tcPr>
            <w:tcW w:type="dxa" w:w="2592"/>
            <w:vAlign w:val="top"/>
          </w:tcPr>
          <w:p>
            <w:r/>
            <w:r>
              <w:rPr>
                <w:b w:val="0"/>
                <w:color w:val="0F172A"/>
                <w:sz w:val="14"/>
              </w:rPr>
              <w:t>Grant compliance failure</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Set up procurement policy, timesheets, segregation of duties, document retention, and audit trail.</w:t>
            </w:r>
          </w:p>
        </w:tc>
        <w:tc>
          <w:tcPr>
            <w:tcW w:type="dxa" w:w="1296"/>
            <w:vAlign w:val="top"/>
          </w:tcPr>
          <w:p>
            <w:r/>
            <w:r>
              <w:rPr>
                <w:b w:val="0"/>
                <w:color w:val="0F172A"/>
                <w:sz w:val="14"/>
              </w:rPr>
              <w:t>Low-Medium</w:t>
            </w:r>
          </w:p>
        </w:tc>
      </w:tr>
      <w:tr>
        <w:tc>
          <w:tcPr>
            <w:tcW w:type="dxa" w:w="2592"/>
            <w:vAlign w:val="top"/>
          </w:tcPr>
          <w:p>
            <w:r/>
            <w:r>
              <w:rPr>
                <w:b w:val="0"/>
                <w:color w:val="0F172A"/>
                <w:sz w:val="14"/>
              </w:rPr>
              <w:t>Technology delivery delay</w:t>
            </w:r>
          </w:p>
        </w:tc>
        <w:tc>
          <w:tcPr>
            <w:tcW w:type="dxa" w:w="1152"/>
            <w:vAlign w:val="top"/>
          </w:tcPr>
          <w:p>
            <w:r/>
            <w:r>
              <w:rPr>
                <w:b w:val="0"/>
                <w:color w:val="0F172A"/>
                <w:sz w:val="14"/>
              </w:rPr>
              <w:t>Medium</w:t>
            </w:r>
          </w:p>
        </w:tc>
        <w:tc>
          <w:tcPr>
            <w:tcW w:type="dxa" w:w="1152"/>
            <w:vAlign w:val="top"/>
          </w:tcPr>
          <w:p>
            <w:r/>
            <w:r>
              <w:rPr>
                <w:b w:val="0"/>
                <w:color w:val="0F172A"/>
                <w:sz w:val="14"/>
              </w:rPr>
              <w:t>Medium</w:t>
            </w:r>
          </w:p>
        </w:tc>
        <w:tc>
          <w:tcPr>
            <w:tcW w:type="dxa" w:w="4320"/>
            <w:vAlign w:val="top"/>
          </w:tcPr>
          <w:p>
            <w:r/>
            <w:r>
              <w:rPr>
                <w:b w:val="0"/>
                <w:color w:val="0F172A"/>
                <w:sz w:val="14"/>
              </w:rPr>
              <w:t>Stage MVP features, use agile delivery, maintain risk register, and prioritize pilot-critical functionality.</w:t>
            </w:r>
          </w:p>
        </w:tc>
        <w:tc>
          <w:tcPr>
            <w:tcW w:type="dxa" w:w="1296"/>
            <w:vAlign w:val="top"/>
          </w:tcPr>
          <w:p>
            <w:r/>
            <w:r>
              <w:rPr>
                <w:b w:val="0"/>
                <w:color w:val="0F172A"/>
                <w:sz w:val="14"/>
              </w:rPr>
              <w:t>Medium</w:t>
            </w:r>
          </w:p>
        </w:tc>
      </w:tr>
      <w:tr>
        <w:tc>
          <w:tcPr>
            <w:tcW w:type="dxa" w:w="2592"/>
            <w:vAlign w:val="top"/>
          </w:tcPr>
          <w:p>
            <w:r/>
            <w:r>
              <w:rPr>
                <w:b w:val="0"/>
                <w:color w:val="0F172A"/>
                <w:sz w:val="14"/>
              </w:rPr>
              <w:t>Market adoption slower than forecast</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Narrow target market, validate pricing, launch pilots, and adjust monetization based on feedback.</w:t>
            </w:r>
          </w:p>
        </w:tc>
        <w:tc>
          <w:tcPr>
            <w:tcW w:type="dxa" w:w="1296"/>
            <w:vAlign w:val="top"/>
          </w:tcPr>
          <w:p>
            <w:r/>
            <w:r>
              <w:rPr>
                <w:b w:val="0"/>
                <w:color w:val="0F172A"/>
                <w:sz w:val="14"/>
              </w:rPr>
              <w:t>Medium</w:t>
            </w:r>
          </w:p>
        </w:tc>
      </w:tr>
      <w:tr>
        <w:tc>
          <w:tcPr>
            <w:tcW w:type="dxa" w:w="2592"/>
            <w:vAlign w:val="top"/>
          </w:tcPr>
          <w:p>
            <w:r/>
            <w:r>
              <w:rPr>
                <w:b w:val="0"/>
                <w:color w:val="0F172A"/>
                <w:sz w:val="14"/>
              </w:rPr>
              <w:t>Greenwashing or claims misuse by customers</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Require claims guidance, disclaimers, VCMI alignment, and customer education.</w:t>
            </w:r>
          </w:p>
        </w:tc>
        <w:tc>
          <w:tcPr>
            <w:tcW w:type="dxa" w:w="1296"/>
            <w:vAlign w:val="top"/>
          </w:tcPr>
          <w:p>
            <w:r/>
            <w:r>
              <w:rPr>
                <w:b w:val="0"/>
                <w:color w:val="0F172A"/>
                <w:sz w:val="14"/>
              </w:rPr>
              <w:t>Medium</w:t>
            </w:r>
          </w:p>
        </w:tc>
      </w:tr>
      <w:tr>
        <w:tc>
          <w:tcPr>
            <w:tcW w:type="dxa" w:w="2592"/>
            <w:vAlign w:val="top"/>
          </w:tcPr>
          <w:p>
            <w:r/>
            <w:r>
              <w:rPr>
                <w:b w:val="0"/>
                <w:color w:val="0F172A"/>
                <w:sz w:val="14"/>
              </w:rPr>
              <w:t>Competition from exchanges, registries, or ESG platforms</w:t>
            </w:r>
          </w:p>
        </w:tc>
        <w:tc>
          <w:tcPr>
            <w:tcW w:type="dxa" w:w="1152"/>
            <w:vAlign w:val="top"/>
          </w:tcPr>
          <w:p>
            <w:r/>
            <w:r>
              <w:rPr>
                <w:b w:val="0"/>
                <w:color w:val="0F172A"/>
                <w:sz w:val="14"/>
              </w:rPr>
              <w:t>Medium</w:t>
            </w:r>
          </w:p>
        </w:tc>
        <w:tc>
          <w:tcPr>
            <w:tcW w:type="dxa" w:w="1152"/>
            <w:vAlign w:val="top"/>
          </w:tcPr>
          <w:p>
            <w:r/>
            <w:r>
              <w:rPr>
                <w:b w:val="0"/>
                <w:color w:val="0F172A"/>
                <w:sz w:val="14"/>
              </w:rPr>
              <w:t>Medium</w:t>
            </w:r>
          </w:p>
        </w:tc>
        <w:tc>
          <w:tcPr>
            <w:tcW w:type="dxa" w:w="4320"/>
            <w:vAlign w:val="top"/>
          </w:tcPr>
          <w:p>
            <w:r/>
            <w:r>
              <w:rPr>
                <w:b w:val="0"/>
                <w:color w:val="0F172A"/>
                <w:sz w:val="14"/>
              </w:rPr>
              <w:t>Differentiate through SME access, transparency, documentation, and integrated reporting workflow.</w:t>
            </w:r>
          </w:p>
        </w:tc>
        <w:tc>
          <w:tcPr>
            <w:tcW w:type="dxa" w:w="1296"/>
            <w:vAlign w:val="top"/>
          </w:tcPr>
          <w:p>
            <w:r/>
            <w:r>
              <w:rPr>
                <w:b w:val="0"/>
                <w:color w:val="0F172A"/>
                <w:sz w:val="14"/>
              </w:rPr>
              <w:t>Medium</w:t>
            </w:r>
          </w:p>
        </w:tc>
      </w:tr>
      <w:tr>
        <w:tc>
          <w:tcPr>
            <w:tcW w:type="dxa" w:w="2592"/>
            <w:vAlign w:val="top"/>
          </w:tcPr>
          <w:p>
            <w:r/>
            <w:r>
              <w:rPr>
                <w:b w:val="0"/>
                <w:color w:val="0F172A"/>
                <w:sz w:val="14"/>
              </w:rPr>
              <w:t>Insufficient match funding</w:t>
            </w:r>
          </w:p>
        </w:tc>
        <w:tc>
          <w:tcPr>
            <w:tcW w:type="dxa" w:w="1152"/>
            <w:vAlign w:val="top"/>
          </w:tcPr>
          <w:p>
            <w:r/>
            <w:r>
              <w:rPr>
                <w:b w:val="0"/>
                <w:color w:val="0F172A"/>
                <w:sz w:val="14"/>
              </w:rPr>
              <w:t>Medium</w:t>
            </w:r>
          </w:p>
        </w:tc>
        <w:tc>
          <w:tcPr>
            <w:tcW w:type="dxa" w:w="1152"/>
            <w:vAlign w:val="top"/>
          </w:tcPr>
          <w:p>
            <w:r/>
            <w:r>
              <w:rPr>
                <w:b w:val="0"/>
                <w:color w:val="0F172A"/>
                <w:sz w:val="14"/>
              </w:rPr>
              <w:t>High</w:t>
            </w:r>
          </w:p>
        </w:tc>
        <w:tc>
          <w:tcPr>
            <w:tcW w:type="dxa" w:w="4320"/>
            <w:vAlign w:val="top"/>
          </w:tcPr>
          <w:p>
            <w:r/>
            <w:r>
              <w:rPr>
                <w:b w:val="0"/>
                <w:color w:val="0F172A"/>
                <w:sz w:val="14"/>
              </w:rPr>
              <w:t>Document cash/in-kind match commitments and maintain a cash contingency plan.</w:t>
            </w:r>
          </w:p>
        </w:tc>
        <w:tc>
          <w:tcPr>
            <w:tcW w:type="dxa" w:w="1296"/>
            <w:vAlign w:val="top"/>
          </w:tcPr>
          <w:p>
            <w:r/>
            <w:r>
              <w:rPr>
                <w:b w:val="0"/>
                <w:color w:val="0F172A"/>
                <w:sz w:val="14"/>
              </w:rPr>
              <w:t>Medium</w:t>
            </w:r>
          </w:p>
        </w:tc>
      </w:tr>
      <w:tr>
        <w:tc>
          <w:tcPr>
            <w:tcW w:type="dxa" w:w="2592"/>
            <w:vAlign w:val="top"/>
          </w:tcPr>
          <w:p>
            <w:r/>
            <w:r>
              <w:rPr>
                <w:b w:val="0"/>
                <w:color w:val="0F172A"/>
                <w:sz w:val="14"/>
              </w:rPr>
              <w:t>Partner dependency</w:t>
            </w:r>
          </w:p>
        </w:tc>
        <w:tc>
          <w:tcPr>
            <w:tcW w:type="dxa" w:w="1152"/>
            <w:vAlign w:val="top"/>
          </w:tcPr>
          <w:p>
            <w:r/>
            <w:r>
              <w:rPr>
                <w:b w:val="0"/>
                <w:color w:val="0F172A"/>
                <w:sz w:val="14"/>
              </w:rPr>
              <w:t>Medium</w:t>
            </w:r>
          </w:p>
        </w:tc>
        <w:tc>
          <w:tcPr>
            <w:tcW w:type="dxa" w:w="1152"/>
            <w:vAlign w:val="top"/>
          </w:tcPr>
          <w:p>
            <w:r/>
            <w:r>
              <w:rPr>
                <w:b w:val="0"/>
                <w:color w:val="0F172A"/>
                <w:sz w:val="14"/>
              </w:rPr>
              <w:t>Medium</w:t>
            </w:r>
          </w:p>
        </w:tc>
        <w:tc>
          <w:tcPr>
            <w:tcW w:type="dxa" w:w="4320"/>
            <w:vAlign w:val="top"/>
          </w:tcPr>
          <w:p>
            <w:r/>
            <w:r>
              <w:rPr>
                <w:b w:val="0"/>
                <w:color w:val="0F172A"/>
                <w:sz w:val="14"/>
              </w:rPr>
              <w:t>Use multiple data sources, standard APIs, termination clauses, and backup plans.</w:t>
            </w:r>
          </w:p>
        </w:tc>
        <w:tc>
          <w:tcPr>
            <w:tcW w:type="dxa" w:w="1296"/>
            <w:vAlign w:val="top"/>
          </w:tcPr>
          <w:p>
            <w:r/>
            <w:r>
              <w:rPr>
                <w:b w:val="0"/>
                <w:color w:val="0F172A"/>
                <w:sz w:val="14"/>
              </w:rPr>
              <w:t>Medium</w:t>
            </w:r>
          </w:p>
        </w:tc>
      </w:tr>
    </w:tbl>
    <w:p>
      <w:pPr>
        <w:pStyle w:val="Heading1"/>
      </w:pPr>
      <w:r>
        <w:t>Sustainability and Scale Plan</w:t>
      </w:r>
    </w:p>
    <w:p>
      <w:r>
        <w:rPr>
          <w:b w:val="0"/>
        </w:rPr>
        <w:t>After the 24-month grant pilot, EcoConnect should pursue a blended sustainability strategy: paid subscriptions from pilot users, enterprise/API contracts, transaction revenue where legally permissible, strategic partnerships with registries/standards/data providers, and follow-on equity or debt for international scale. The final grant application should emphasize that public funding de-risks the market infrastructure and creates public learning; it should not subsidize investor returns or speculative global dominance.</w:t>
      </w:r>
    </w:p>
    <w:p>
      <w:pPr>
        <w:pStyle w:val="Heading2"/>
      </w:pPr>
      <w:r>
        <w:t>Source Notes</w:t>
      </w:r>
    </w:p>
    <w:p>
      <w:r>
        <w:rPr>
          <w:b w:val="0"/>
        </w:rPr>
        <w:t>Source documents reviewed:</w:t>
      </w:r>
    </w:p>
    <w:p>
      <w:pPr>
        <w:pStyle w:val="ListBullet"/>
      </w:pPr>
      <w:r>
        <w:t>retirement_idea.docx - concept plan for a global marketplace for carbon credits and sustainability initiatives</w:t>
      </w:r>
    </w:p>
    <w:p>
      <w:pPr>
        <w:pStyle w:val="ListBullet"/>
      </w:pPr>
      <w:r>
        <w:t>retirement_plan.docx - comprehensive business plan for EcoConnect Global Ltd.</w:t>
      </w:r>
    </w:p>
    <w:p>
      <w:pPr>
        <w:pStyle w:val="ListBullet"/>
      </w:pPr>
      <w:r>
        <w:t>retirement_funds_request.docx - detailed $50 million investor-oriented use of funds</w:t>
      </w:r>
    </w:p>
    <w:p>
      <w:r>
        <w:rPr>
          <w:b w:val="0"/>
        </w:rPr>
        <w:t>External market and compliance sources used for sanity-checking and grant framing:</w:t>
      </w:r>
    </w:p>
    <w:p>
      <w:pPr>
        <w:pStyle w:val="ListBullet"/>
      </w:pPr>
      <w:r>
        <w:t>World Bank - State and Trends of Carbon Pricing: https://www.worldbank.org/en/publication/state-and-trends-of-carbon-pricing</w:t>
      </w:r>
    </w:p>
    <w:p>
      <w:pPr>
        <w:pStyle w:val="ListBullet"/>
      </w:pPr>
      <w:r>
        <w:t>Ecosystem Marketplace - 2024 State of the Voluntary Carbon Market / market contraction article: https://www.ecosystemmarketplace.com/articles/report-the-voluntary-carbon-market-contracted-in-2023-driven-by-drop-off-in-transactions-for-redd-and-renewable-energy/</w:t>
      </w:r>
    </w:p>
    <w:p>
      <w:pPr>
        <w:pStyle w:val="ListBullet"/>
      </w:pPr>
      <w:r>
        <w:t>ICVCM - Core Carbon Principles and Assessment Framework: https://icvcm.org/wp-content/uploads/2024/02/CCP-Book-V1.1-FINAL-LowRes-15May24.pdf</w:t>
      </w:r>
    </w:p>
    <w:p>
      <w:pPr>
        <w:pStyle w:val="ListBullet"/>
      </w:pPr>
      <w:r>
        <w:t>VCMI - Claims Code of Practice and MRA framework: https://vcmintegrity.org/vcmi-claims-code-of-practice/</w:t>
      </w:r>
    </w:p>
    <w:p>
      <w:pPr>
        <w:pStyle w:val="ListBullet"/>
      </w:pPr>
      <w:r>
        <w:t>U.S. Treasury - Voluntary Carbon Markets Joint Policy Statement and Principles: https://home.treasury.gov/system/files/136/VCM-Joint-Policy-Statement-and-Principles.pdf</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Emissions Trading System: https://climate.ec.europa.eu/eu-action/carbon-markets/eu-emissions-trading-system-eu-ets_en</w:t>
      </w:r>
    </w:p>
    <w:p>
      <w:pPr>
        <w:pStyle w:val="ListBullet"/>
      </w:pPr>
      <w:r>
        <w:t>GOV.UK - Environmental reporting guidelines including SECR: https://www.gov.uk/government/publications/environmental-reporting-guidelines-including-mandatory-greenhouse-gas-emissions-reporting-guidance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Full Business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