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F766E"/>
          <w:sz w:val="28"/>
        </w:rPr>
        <w:t>EcoConnect Global Ltd.</w:t>
      </w:r>
    </w:p>
    <w:p>
      <w:pPr>
        <w:jc w:val="center"/>
      </w:pPr>
      <w:r>
        <w:rPr>
          <w:b/>
          <w:color w:val="0F172A"/>
          <w:sz w:val="52"/>
        </w:rPr>
        <w:t>Executive Summary</w:t>
      </w:r>
    </w:p>
    <w:p>
      <w:pPr>
        <w:jc w:val="center"/>
      </w:pPr>
      <w:r>
        <w:rPr>
          <w:color w:val="475569"/>
          <w:sz w:val="24"/>
        </w:rPr>
        <w:t>Transparent, data-driven marketplace infrastructure for verified carbon credits</w:t>
      </w:r>
    </w:p>
    <w:p>
      <w:pPr>
        <w:jc w:val="center"/>
      </w:pPr>
      <w:r>
        <w:rPr>
          <w:i/>
          <w:color w:val="64748B"/>
          <w:sz w:val="20"/>
        </w:rPr>
        <w:t>Grant Application Support Document</w:t>
      </w:r>
    </w:p>
    <w:p/>
    <w:p>
      <w:pPr>
        <w:jc w:val="center"/>
      </w:pPr>
      <w:r>
        <w:rPr>
          <w:color w:val="64748B"/>
          <w:sz w:val="20"/>
        </w:rPr>
        <w:t>Prepared: May 19, 2026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0FDFA"/>
          </w:tcPr>
          <w:p>
            <w:pPr>
              <w:jc w:val="center"/>
            </w:pPr>
            <w:r/>
            <w:r>
              <w:rPr>
                <w:color w:val="0F766E"/>
                <w:sz w:val="20"/>
              </w:rPr>
              <w:t>Draft status: grant-ready structure with explicit placeholders. Final submission requires applicant verification, legal review, program-specific eligibility review, and replacement of all missing data.</w:t>
            </w:r>
          </w:p>
        </w:tc>
      </w:tr>
    </w:tbl>
    <w:p>
      <w:r>
        <w:br w:type="page"/>
      </w:r>
    </w:p>
    <w:p>
      <w:pPr>
        <w:pStyle w:val="Heading1"/>
      </w:pPr>
      <w:r>
        <w:t>Executive Summary</w:t>
      </w:r>
    </w:p>
    <w:p>
      <w:r>
        <w:rPr>
          <w:b w:val="0"/>
        </w:rPr>
        <w:t>EcoConnect Global Ltd. proposes a 24-month grant-funded pilot to develop transparent, data-driven marketplace infrastructure for verified carbon credits. The project will help SMEs and other organizations identify credible credits, compare project documentation, understand integrity risks, track purchases/retirements, and generate auditable reports. The public-interest case is not simply that carbon markets are large; it is that carbon market participation remains difficult to trust, expensive to navigate, and inaccessible to many smaller buyers.</w:t>
      </w:r>
    </w:p>
    <w:p>
      <w:r>
        <w:rPr>
          <w:b w:val="0"/>
        </w:rPr>
        <w:t>Recommended funding request: $5,000,000 in government grant funding with a placeholder $1,250,000 applicant match, for a total Phase 1 project budget of $6,250,000. This replaces the source documents' $50,000,000 equity-investment request for grant purposes.</w:t>
      </w:r>
    </w:p>
    <w:p>
      <w:pPr>
        <w:pStyle w:val="Heading2"/>
      </w:pPr>
      <w:r>
        <w:t>Why the Project Is Needed</w:t>
      </w:r>
    </w:p>
    <w:p>
      <w:pPr>
        <w:pStyle w:val="ListBullet"/>
      </w:pPr>
      <w:r>
        <w:t>Carbon credit information is fragmented across registries, project documents, broker materials, ratings, and voluntary standards.</w:t>
      </w:r>
    </w:p>
    <w:p>
      <w:pPr>
        <w:pStyle w:val="ListBullet"/>
      </w:pPr>
      <w:r>
        <w:t>Buyers face integrity concerns around additionality, permanence, double counting, safeguards, and claims.</w:t>
      </w:r>
    </w:p>
    <w:p>
      <w:pPr>
        <w:pStyle w:val="ListBullet"/>
      </w:pPr>
      <w:r>
        <w:t>SMEs often lack resources for high-quality diligence and sustainability reporting support.</w:t>
      </w:r>
    </w:p>
    <w:p>
      <w:pPr>
        <w:pStyle w:val="ListBullet"/>
      </w:pPr>
      <w:r>
        <w:t>Project developers need better channels to credible buyers and more transparent documentation workflows.</w:t>
      </w:r>
    </w:p>
    <w:p>
      <w:pPr>
        <w:pStyle w:val="ListBullet"/>
      </w:pPr>
      <w:r>
        <w:t>Government support can de-risk a public-benefit transparency layer that private capital alone may underfund.</w:t>
      </w:r>
    </w:p>
    <w:p>
      <w:pPr>
        <w:pStyle w:val="Heading2"/>
      </w:pPr>
      <w:r>
        <w:t>Project Outputs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4320"/>
            <w:vAlign w:val="top"/>
            <w:shd w:fill="0F766E"/>
          </w:tcPr>
          <w:p>
            <w:r/>
            <w:r>
              <w:rPr>
                <w:b/>
                <w:color w:val="FFFFFF"/>
                <w:sz w:val="17"/>
              </w:rPr>
              <w:t>Output</w:t>
            </w:r>
          </w:p>
        </w:tc>
        <w:tc>
          <w:tcPr>
            <w:tcW w:type="dxa" w:w="6336"/>
            <w:vAlign w:val="top"/>
            <w:shd w:fill="0F766E"/>
          </w:tcPr>
          <w:p>
            <w:r/>
            <w:r>
              <w:rPr>
                <w:b/>
                <w:color w:val="FFFFFF"/>
                <w:sz w:val="17"/>
              </w:rPr>
              <w:t>Target by Month 24</w:t>
            </w:r>
          </w:p>
        </w:tc>
      </w:tr>
      <w:tr>
        <w:tc>
          <w:tcPr>
            <w:tcW w:type="dxa" w:w="4320"/>
            <w:vAlign w:val="top"/>
          </w:tcPr>
          <w:p>
            <w:r/>
            <w:r>
              <w:rPr>
                <w:b w:val="0"/>
                <w:color w:val="0F172A"/>
                <w:sz w:val="17"/>
              </w:rPr>
              <w:t>Standardized carbon project profiles</w:t>
            </w:r>
          </w:p>
        </w:tc>
        <w:tc>
          <w:tcPr>
            <w:tcW w:type="dxa" w:w="6336"/>
            <w:vAlign w:val="top"/>
          </w:tcPr>
          <w:p>
            <w:r/>
            <w:r>
              <w:rPr>
                <w:b w:val="0"/>
                <w:color w:val="0F172A"/>
                <w:sz w:val="17"/>
              </w:rPr>
              <w:t>150 profiles integrated and quality-checked</w:t>
            </w:r>
          </w:p>
        </w:tc>
      </w:tr>
      <w:tr>
        <w:tc>
          <w:tcPr>
            <w:tcW w:type="dxa" w:w="4320"/>
            <w:vAlign w:val="top"/>
          </w:tcPr>
          <w:p>
            <w:r/>
            <w:r>
              <w:rPr>
                <w:b w:val="0"/>
                <w:color w:val="0F172A"/>
                <w:sz w:val="17"/>
              </w:rPr>
              <w:t>Pilot buyers</w:t>
            </w:r>
          </w:p>
        </w:tc>
        <w:tc>
          <w:tcPr>
            <w:tcW w:type="dxa" w:w="6336"/>
            <w:vAlign w:val="top"/>
          </w:tcPr>
          <w:p>
            <w:r/>
            <w:r>
              <w:rPr>
                <w:b w:val="0"/>
                <w:color w:val="0F172A"/>
                <w:sz w:val="17"/>
              </w:rPr>
              <w:t>10-20 buyers onboarded</w:t>
            </w:r>
          </w:p>
        </w:tc>
      </w:tr>
      <w:tr>
        <w:tc>
          <w:tcPr>
            <w:tcW w:type="dxa" w:w="4320"/>
            <w:vAlign w:val="top"/>
          </w:tcPr>
          <w:p>
            <w:r/>
            <w:r>
              <w:rPr>
                <w:b w:val="0"/>
                <w:color w:val="0F172A"/>
                <w:sz w:val="17"/>
              </w:rPr>
              <w:t>Project developers</w:t>
            </w:r>
          </w:p>
        </w:tc>
        <w:tc>
          <w:tcPr>
            <w:tcW w:type="dxa" w:w="6336"/>
            <w:vAlign w:val="top"/>
          </w:tcPr>
          <w:p>
            <w:r/>
            <w:r>
              <w:rPr>
                <w:b w:val="0"/>
                <w:color w:val="0F172A"/>
                <w:sz w:val="17"/>
              </w:rPr>
              <w:t>5-10 developers onboarded</w:t>
            </w:r>
          </w:p>
        </w:tc>
      </w:tr>
      <w:tr>
        <w:tc>
          <w:tcPr>
            <w:tcW w:type="dxa" w:w="4320"/>
            <w:vAlign w:val="top"/>
          </w:tcPr>
          <w:p>
            <w:r/>
            <w:r>
              <w:rPr>
                <w:b w:val="0"/>
                <w:color w:val="0F172A"/>
                <w:sz w:val="17"/>
              </w:rPr>
              <w:t>Buyer reports</w:t>
            </w:r>
          </w:p>
        </w:tc>
        <w:tc>
          <w:tcPr>
            <w:tcW w:type="dxa" w:w="6336"/>
            <w:vAlign w:val="top"/>
          </w:tcPr>
          <w:p>
            <w:r/>
            <w:r>
              <w:rPr>
                <w:b w:val="0"/>
                <w:color w:val="0F172A"/>
                <w:sz w:val="17"/>
              </w:rPr>
              <w:t>50 auditable reports generated</w:t>
            </w:r>
          </w:p>
        </w:tc>
      </w:tr>
      <w:tr>
        <w:tc>
          <w:tcPr>
            <w:tcW w:type="dxa" w:w="4320"/>
            <w:vAlign w:val="top"/>
          </w:tcPr>
          <w:p>
            <w:r/>
            <w:r>
              <w:rPr>
                <w:b w:val="0"/>
                <w:color w:val="0F172A"/>
                <w:sz w:val="17"/>
              </w:rPr>
              <w:t>Workshops/webinars</w:t>
            </w:r>
          </w:p>
        </w:tc>
        <w:tc>
          <w:tcPr>
            <w:tcW w:type="dxa" w:w="6336"/>
            <w:vAlign w:val="top"/>
          </w:tcPr>
          <w:p>
            <w:r/>
            <w:r>
              <w:rPr>
                <w:b w:val="0"/>
                <w:color w:val="0F172A"/>
                <w:sz w:val="17"/>
              </w:rPr>
              <w:t>8 public or stakeholder learning sessions</w:t>
            </w:r>
          </w:p>
        </w:tc>
      </w:tr>
      <w:tr>
        <w:tc>
          <w:tcPr>
            <w:tcW w:type="dxa" w:w="4320"/>
            <w:vAlign w:val="top"/>
          </w:tcPr>
          <w:p>
            <w:r/>
            <w:r>
              <w:rPr>
                <w:b w:val="0"/>
                <w:color w:val="0F172A"/>
                <w:sz w:val="17"/>
              </w:rPr>
              <w:t>Independent evaluation</w:t>
            </w:r>
          </w:p>
        </w:tc>
        <w:tc>
          <w:tcPr>
            <w:tcW w:type="dxa" w:w="6336"/>
            <w:vAlign w:val="top"/>
          </w:tcPr>
          <w:p>
            <w:r/>
            <w:r>
              <w:rPr>
                <w:b w:val="0"/>
                <w:color w:val="0F172A"/>
                <w:sz w:val="17"/>
              </w:rPr>
              <w:t>Final evaluation and scale-readiness report</w:t>
            </w:r>
          </w:p>
        </w:tc>
      </w:tr>
    </w:tbl>
    <w:p>
      <w:pPr>
        <w:pStyle w:val="Heading2"/>
      </w:pPr>
      <w:r>
        <w:t>Funding and Financial Sustainability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3600"/>
            <w:vAlign w:val="top"/>
            <w:shd w:fill="0F766E"/>
          </w:tcPr>
          <w:p>
            <w:r/>
            <w:r>
              <w:rPr>
                <w:b/>
                <w:color w:val="FFFFFF"/>
                <w:sz w:val="16"/>
              </w:rPr>
              <w:t>Category</w:t>
            </w:r>
          </w:p>
        </w:tc>
        <w:tc>
          <w:tcPr>
            <w:tcW w:type="dxa" w:w="2160"/>
            <w:vAlign w:val="top"/>
            <w:shd w:fill="0F766E"/>
          </w:tcPr>
          <w:p>
            <w:r/>
            <w:r>
              <w:rPr>
                <w:b/>
                <w:color w:val="FFFFFF"/>
                <w:sz w:val="16"/>
              </w:rPr>
              <w:t>Grant Funds</w:t>
            </w:r>
          </w:p>
        </w:tc>
        <w:tc>
          <w:tcPr>
            <w:tcW w:type="dxa" w:w="2160"/>
            <w:vAlign w:val="top"/>
            <w:shd w:fill="0F766E"/>
          </w:tcPr>
          <w:p>
            <w:r/>
            <w:r>
              <w:rPr>
                <w:b/>
                <w:color w:val="FFFFFF"/>
                <w:sz w:val="16"/>
              </w:rPr>
              <w:t>Applicant Match</w:t>
            </w:r>
          </w:p>
        </w:tc>
        <w:tc>
          <w:tcPr>
            <w:tcW w:type="dxa" w:w="2160"/>
            <w:vAlign w:val="top"/>
            <w:shd w:fill="0F766E"/>
          </w:tcPr>
          <w:p>
            <w:r/>
            <w:r>
              <w:rPr>
                <w:b/>
                <w:color w:val="FFFFFF"/>
                <w:sz w:val="16"/>
              </w:rPr>
              <w:t>Total</w:t>
            </w:r>
          </w:p>
        </w:tc>
      </w:tr>
      <w:tr>
        <w:tc>
          <w:tcPr>
            <w:tcW w:type="dxa" w:w="360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Product &amp; Engineering</w:t>
            </w:r>
          </w:p>
        </w:tc>
        <w:tc>
          <w:tcPr>
            <w:tcW w:type="dxa" w:w="216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$1,250,000</w:t>
            </w:r>
          </w:p>
        </w:tc>
        <w:tc>
          <w:tcPr>
            <w:tcW w:type="dxa" w:w="216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$325,000</w:t>
            </w:r>
          </w:p>
        </w:tc>
        <w:tc>
          <w:tcPr>
            <w:tcW w:type="dxa" w:w="216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$1,575,000</w:t>
            </w:r>
          </w:p>
        </w:tc>
      </w:tr>
      <w:tr>
        <w:tc>
          <w:tcPr>
            <w:tcW w:type="dxa" w:w="360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Data &amp; Verification</w:t>
            </w:r>
          </w:p>
        </w:tc>
        <w:tc>
          <w:tcPr>
            <w:tcW w:type="dxa" w:w="216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$1,000,000</w:t>
            </w:r>
          </w:p>
        </w:tc>
        <w:tc>
          <w:tcPr>
            <w:tcW w:type="dxa" w:w="216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$225,000</w:t>
            </w:r>
          </w:p>
        </w:tc>
        <w:tc>
          <w:tcPr>
            <w:tcW w:type="dxa" w:w="216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$1,225,000</w:t>
            </w:r>
          </w:p>
        </w:tc>
      </w:tr>
      <w:tr>
        <w:tc>
          <w:tcPr>
            <w:tcW w:type="dxa" w:w="360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Compliance &amp; Governance</w:t>
            </w:r>
          </w:p>
        </w:tc>
        <w:tc>
          <w:tcPr>
            <w:tcW w:type="dxa" w:w="216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$600,000</w:t>
            </w:r>
          </w:p>
        </w:tc>
        <w:tc>
          <w:tcPr>
            <w:tcW w:type="dxa" w:w="216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$150,000</w:t>
            </w:r>
          </w:p>
        </w:tc>
        <w:tc>
          <w:tcPr>
            <w:tcW w:type="dxa" w:w="216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$750,000</w:t>
            </w:r>
          </w:p>
        </w:tc>
      </w:tr>
      <w:tr>
        <w:tc>
          <w:tcPr>
            <w:tcW w:type="dxa" w:w="360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Pilot Implementation</w:t>
            </w:r>
          </w:p>
        </w:tc>
        <w:tc>
          <w:tcPr>
            <w:tcW w:type="dxa" w:w="216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$750,000</w:t>
            </w:r>
          </w:p>
        </w:tc>
        <w:tc>
          <w:tcPr>
            <w:tcW w:type="dxa" w:w="216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$225,000</w:t>
            </w:r>
          </w:p>
        </w:tc>
        <w:tc>
          <w:tcPr>
            <w:tcW w:type="dxa" w:w="216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$975,000</w:t>
            </w:r>
          </w:p>
        </w:tc>
      </w:tr>
      <w:tr>
        <w:tc>
          <w:tcPr>
            <w:tcW w:type="dxa" w:w="360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Operations &amp; Staffing</w:t>
            </w:r>
          </w:p>
        </w:tc>
        <w:tc>
          <w:tcPr>
            <w:tcW w:type="dxa" w:w="216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$850,000</w:t>
            </w:r>
          </w:p>
        </w:tc>
        <w:tc>
          <w:tcPr>
            <w:tcW w:type="dxa" w:w="216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$200,000</w:t>
            </w:r>
          </w:p>
        </w:tc>
        <w:tc>
          <w:tcPr>
            <w:tcW w:type="dxa" w:w="216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$1,050,000</w:t>
            </w:r>
          </w:p>
        </w:tc>
      </w:tr>
      <w:tr>
        <w:tc>
          <w:tcPr>
            <w:tcW w:type="dxa" w:w="360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Outreach &amp; Dissemination</w:t>
            </w:r>
          </w:p>
        </w:tc>
        <w:tc>
          <w:tcPr>
            <w:tcW w:type="dxa" w:w="216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$325,000</w:t>
            </w:r>
          </w:p>
        </w:tc>
        <w:tc>
          <w:tcPr>
            <w:tcW w:type="dxa" w:w="216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$75,000</w:t>
            </w:r>
          </w:p>
        </w:tc>
        <w:tc>
          <w:tcPr>
            <w:tcW w:type="dxa" w:w="216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$400,000</w:t>
            </w:r>
          </w:p>
        </w:tc>
      </w:tr>
      <w:tr>
        <w:tc>
          <w:tcPr>
            <w:tcW w:type="dxa" w:w="360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Monitoring &amp; Evaluation</w:t>
            </w:r>
          </w:p>
        </w:tc>
        <w:tc>
          <w:tcPr>
            <w:tcW w:type="dxa" w:w="216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$175,000</w:t>
            </w:r>
          </w:p>
        </w:tc>
        <w:tc>
          <w:tcPr>
            <w:tcW w:type="dxa" w:w="216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$50,000</w:t>
            </w:r>
          </w:p>
        </w:tc>
        <w:tc>
          <w:tcPr>
            <w:tcW w:type="dxa" w:w="216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$225,000</w:t>
            </w:r>
          </w:p>
        </w:tc>
      </w:tr>
      <w:tr>
        <w:tc>
          <w:tcPr>
            <w:tcW w:type="dxa" w:w="360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Contingency</w:t>
            </w:r>
          </w:p>
        </w:tc>
        <w:tc>
          <w:tcPr>
            <w:tcW w:type="dxa" w:w="216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$50,000</w:t>
            </w:r>
          </w:p>
        </w:tc>
        <w:tc>
          <w:tcPr>
            <w:tcW w:type="dxa" w:w="216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$0</w:t>
            </w:r>
          </w:p>
        </w:tc>
        <w:tc>
          <w:tcPr>
            <w:tcW w:type="dxa" w:w="2160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$50,000</w:t>
            </w:r>
          </w:p>
        </w:tc>
      </w:tr>
      <w:tr>
        <w:tc>
          <w:tcPr>
            <w:tcW w:type="dxa" w:w="3600"/>
            <w:vAlign w:val="top"/>
            <w:shd w:fill="E2E8F0"/>
          </w:tcPr>
          <w:p>
            <w:r/>
            <w:r>
              <w:rPr>
                <w:b/>
                <w:color w:val="0F172A"/>
                <w:sz w:val="16"/>
              </w:rPr>
              <w:t>TOTAL</w:t>
            </w:r>
          </w:p>
        </w:tc>
        <w:tc>
          <w:tcPr>
            <w:tcW w:type="dxa" w:w="2160"/>
            <w:vAlign w:val="top"/>
            <w:shd w:fill="E2E8F0"/>
          </w:tcPr>
          <w:p>
            <w:r/>
            <w:r>
              <w:rPr>
                <w:b/>
                <w:color w:val="0F172A"/>
                <w:sz w:val="16"/>
              </w:rPr>
              <w:t>$5,000,000</w:t>
            </w:r>
          </w:p>
        </w:tc>
        <w:tc>
          <w:tcPr>
            <w:tcW w:type="dxa" w:w="2160"/>
            <w:vAlign w:val="top"/>
            <w:shd w:fill="E2E8F0"/>
          </w:tcPr>
          <w:p>
            <w:r/>
            <w:r>
              <w:rPr>
                <w:b/>
                <w:color w:val="0F172A"/>
                <w:sz w:val="16"/>
              </w:rPr>
              <w:t>$1,250,000</w:t>
            </w:r>
          </w:p>
        </w:tc>
        <w:tc>
          <w:tcPr>
            <w:tcW w:type="dxa" w:w="2160"/>
            <w:vAlign w:val="top"/>
            <w:shd w:fill="E2E8F0"/>
          </w:tcPr>
          <w:p>
            <w:r/>
            <w:r>
              <w:rPr>
                <w:b/>
                <w:color w:val="0F172A"/>
                <w:sz w:val="16"/>
              </w:rPr>
              <w:t>$6,250,000</w:t>
            </w:r>
          </w:p>
        </w:tc>
      </w:tr>
    </w:tbl>
    <w:p>
      <w:r>
        <w:rPr>
          <w:b w:val="0"/>
        </w:rPr>
        <w:t>Long-term revenue will come from subscriptions, API/reporting services, due diligence support, and transaction fees where legally permissible. The base-case forecast reaches positive EBITDA in Year 5, but this depends on validated customer adoption, legal clearance, and partner commitments.</w:t>
      </w:r>
    </w:p>
    <w:p>
      <w:pPr>
        <w:pStyle w:val="Heading2"/>
      </w:pPr>
      <w:r>
        <w:t>Grant Readiness Score</w:t>
      </w:r>
    </w:p>
    <w:p>
      <w:r>
        <w:rPr>
          <w:b w:val="0"/>
        </w:rPr>
        <w:t>Final grant readiness score after this restructuring: 62/100. Original source package score: 34/100. The largest remaining blockers are applicant eligibility, legal/regulatory review, partner LOIs, match evidence, and documented market validation.</w:t>
      </w:r>
    </w:p>
    <w:p>
      <w:pPr>
        <w:pStyle w:val="Heading2"/>
      </w:pPr>
      <w:r>
        <w:t>Source Notes</w:t>
      </w:r>
    </w:p>
    <w:p>
      <w:r>
        <w:rPr>
          <w:b w:val="0"/>
        </w:rPr>
        <w:t>Source documents reviewed:</w:t>
      </w:r>
    </w:p>
    <w:p>
      <w:pPr>
        <w:pStyle w:val="ListBullet"/>
      </w:pPr>
      <w:r>
        <w:t>retirement_idea.docx - concept plan for a global marketplace for carbon credits and sustainability initiatives</w:t>
      </w:r>
    </w:p>
    <w:p>
      <w:pPr>
        <w:pStyle w:val="ListBullet"/>
      </w:pPr>
      <w:r>
        <w:t>retirement_plan.docx - comprehensive business plan for EcoConnect Global Ltd.</w:t>
      </w:r>
    </w:p>
    <w:p>
      <w:pPr>
        <w:pStyle w:val="ListBullet"/>
      </w:pPr>
      <w:r>
        <w:t>retirement_funds_request.docx - detailed $50 million investor-oriented use of funds</w:t>
      </w:r>
    </w:p>
    <w:p>
      <w:r>
        <w:rPr>
          <w:b w:val="0"/>
        </w:rPr>
        <w:t>External market and compliance sources used for sanity-checking and grant framing:</w:t>
      </w:r>
    </w:p>
    <w:p>
      <w:pPr>
        <w:pStyle w:val="ListBullet"/>
      </w:pPr>
      <w:r>
        <w:t>World Bank - State and Trends of Carbon Pricing: https://www.worldbank.org/en/publication/state-and-trends-of-carbon-pricing</w:t>
      </w:r>
    </w:p>
    <w:p>
      <w:pPr>
        <w:pStyle w:val="ListBullet"/>
      </w:pPr>
      <w:r>
        <w:t>Ecosystem Marketplace - 2024 State of the Voluntary Carbon Market / market contraction article: https://www.ecosystemmarketplace.com/articles/report-the-voluntary-carbon-market-contracted-in-2023-driven-by-drop-off-in-transactions-for-redd-and-renewable-energy/</w:t>
      </w:r>
    </w:p>
    <w:p>
      <w:pPr>
        <w:pStyle w:val="ListBullet"/>
      </w:pPr>
      <w:r>
        <w:t>ICVCM - Core Carbon Principles and Assessment Framework: https://icvcm.org/wp-content/uploads/2024/02/CCP-Book-V1.1-FINAL-LowRes-15May24.pdf</w:t>
      </w:r>
    </w:p>
    <w:p>
      <w:pPr>
        <w:pStyle w:val="ListBullet"/>
      </w:pPr>
      <w:r>
        <w:t>VCMI - Claims Code of Practice and MRA framework: https://vcmintegrity.org/vcmi-claims-code-of-practice/</w:t>
      </w:r>
    </w:p>
    <w:p>
      <w:pPr>
        <w:pStyle w:val="ListBullet"/>
      </w:pPr>
      <w:r>
        <w:t>U.S. Treasury - Voluntary Carbon Markets Joint Policy Statement and Principles: https://home.treasury.gov/system/files/136/VCM-Joint-Policy-Statement-and-Principles.pdf</w:t>
      </w:r>
    </w:p>
    <w:p>
      <w:pPr>
        <w:pStyle w:val="ListBullet"/>
      </w:pPr>
      <w:r>
        <w:t>European Commission - Corporate sustainability reporting / CSRD: https://finance.ec.europa.eu/financial-markets/company-reporting-and-auditing/company-reporting/corporate-sustainability-reporting_en</w:t>
      </w:r>
    </w:p>
    <w:p>
      <w:pPr>
        <w:pStyle w:val="ListBullet"/>
      </w:pPr>
      <w:r>
        <w:t>European Commission - EU Emissions Trading System: https://climate.ec.europa.eu/eu-action/carbon-markets/eu-emissions-trading-system-eu-ets_en</w:t>
      </w:r>
    </w:p>
    <w:p>
      <w:pPr>
        <w:pStyle w:val="ListBullet"/>
      </w:pPr>
      <w:r>
        <w:t>GOV.UK - Environmental reporting guidelines including SECR: https://www.gov.uk/government/publications/environmental-reporting-guidelines-including-mandatory-greenhouse-gas-emissions-reporting-guidance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08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4748B"/>
        <w:sz w:val="16"/>
      </w:rPr>
      <w:t>EcoConnect Global Ltd. | Grant-ready draft | May 19, 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64748B"/>
        <w:sz w:val="16"/>
      </w:rPr>
      <w:t>Executive Summary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0F766E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 w:eastAsia="Aptos Display"/>
      <w:b/>
      <w:bCs/>
      <w:color w:val="134E4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 Display" w:hAnsi="Aptos Display" w:eastAsia="Aptos Display"/>
      <w:b/>
      <w:bCs/>
      <w:color w:val="33415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