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766E"/>
          <w:sz w:val="28"/>
        </w:rPr>
        <w:t>EcoConnect Global Ltd.</w:t>
      </w:r>
    </w:p>
    <w:p>
      <w:pPr>
        <w:jc w:val="center"/>
      </w:pPr>
      <w:r>
        <w:rPr>
          <w:b/>
          <w:color w:val="0F172A"/>
          <w:sz w:val="52"/>
        </w:rPr>
        <w:t>Compliance &amp; Required Documents Checklist</w:t>
      </w:r>
    </w:p>
    <w:p>
      <w:pPr>
        <w:jc w:val="center"/>
      </w:pPr>
      <w:r>
        <w:rPr>
          <w:color w:val="475569"/>
          <w:sz w:val="24"/>
        </w:rPr>
        <w:t>Transparent, data-driven marketplace infrastructure for verified carbon credits</w:t>
      </w:r>
    </w:p>
    <w:p>
      <w:pPr>
        <w:jc w:val="center"/>
      </w:pPr>
      <w:r>
        <w:rPr>
          <w:i/>
          <w:color w:val="64748B"/>
          <w:sz w:val="20"/>
        </w:rPr>
        <w:t>Grant Application Support Document</w:t>
      </w:r>
    </w:p>
    <w:p/>
    <w:p>
      <w:pPr>
        <w:jc w:val="center"/>
      </w:pPr>
      <w:r>
        <w:rPr>
          <w:color w:val="64748B"/>
          <w:sz w:val="20"/>
        </w:rPr>
        <w:t>Prepared: May 19,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F0FDFA"/>
          </w:tcPr>
          <w:p>
            <w:pPr>
              <w:jc w:val="center"/>
            </w:pPr>
            <w:r/>
            <w:r>
              <w:rPr>
                <w:color w:val="0F766E"/>
                <w:sz w:val="20"/>
              </w:rPr>
              <w:t>Draft status: grant-ready structure with explicit placeholders. Final submission requires applicant verification, legal review, program-specific eligibility review, and replacement of all missing data.</w:t>
            </w:r>
          </w:p>
        </w:tc>
      </w:tr>
    </w:tbl>
    <w:p>
      <w:r>
        <w:br w:type="page"/>
      </w:r>
    </w:p>
    <w:p>
      <w:pPr>
        <w:pStyle w:val="Heading1"/>
      </w:pPr>
      <w:r>
        <w:t>Compliance and Required Documents Checklist</w:t>
      </w:r>
    </w:p>
    <w:p>
      <w:r>
        <w:rPr>
          <w:b w:val="0"/>
        </w:rPr>
        <w:t>This checklist is designed to prevent administrative rejection and post-award audit findings. Items marked missing must be completed before final submission or award execution.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2880"/>
            <w:vAlign w:val="top"/>
            <w:shd w:fill="0F766E"/>
          </w:tcPr>
          <w:p>
            <w:r/>
            <w:r>
              <w:rPr>
                <w:b/>
                <w:color w:val="FFFFFF"/>
                <w:sz w:val="14"/>
              </w:rPr>
              <w:t>Requirement / Document</w:t>
            </w:r>
          </w:p>
        </w:tc>
        <w:tc>
          <w:tcPr>
            <w:tcW w:type="dxa" w:w="2880"/>
            <w:vAlign w:val="top"/>
            <w:shd w:fill="0F766E"/>
          </w:tcPr>
          <w:p>
            <w:r/>
            <w:r>
              <w:rPr>
                <w:b/>
                <w:color w:val="FFFFFF"/>
                <w:sz w:val="14"/>
              </w:rPr>
              <w:t>Purpose</w:t>
            </w:r>
          </w:p>
        </w:tc>
        <w:tc>
          <w:tcPr>
            <w:tcW w:type="dxa" w:w="1728"/>
            <w:vAlign w:val="top"/>
            <w:shd w:fill="0F766E"/>
          </w:tcPr>
          <w:p>
            <w:r/>
            <w:r>
              <w:rPr>
                <w:b/>
                <w:color w:val="FFFFFF"/>
                <w:sz w:val="14"/>
              </w:rPr>
              <w:t>Current Status</w:t>
            </w:r>
          </w:p>
        </w:tc>
        <w:tc>
          <w:tcPr>
            <w:tcW w:type="dxa" w:w="1584"/>
            <w:vAlign w:val="top"/>
            <w:shd w:fill="0F766E"/>
          </w:tcPr>
          <w:p>
            <w:r/>
            <w:r>
              <w:rPr>
                <w:b/>
                <w:color w:val="FFFFFF"/>
                <w:sz w:val="14"/>
              </w:rPr>
              <w:t>Owner</w:t>
            </w:r>
          </w:p>
        </w:tc>
        <w:tc>
          <w:tcPr>
            <w:tcW w:type="dxa" w:w="2592"/>
            <w:vAlign w:val="top"/>
            <w:shd w:fill="0F766E"/>
          </w:tcPr>
          <w:p>
            <w:r/>
            <w:r>
              <w:rPr>
                <w:b/>
                <w:color w:val="FFFFFF"/>
                <w:sz w:val="14"/>
              </w:rPr>
              <w:t>Risk if Missing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Grant program guidelines and scoring rubric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Align narrative and budget with funder rules.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Application may fail eligibility or scoring.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Certificate of incorporation / registration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Prove legal applicant exists.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Administrative rejection.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Tax/VAT identification and tax clearance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Verify compliance and eligibility.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Administrative rejection.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Beneficial ownership / directors register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Meet transparency and anti-fraud requirements.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Due diligence failure.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Authorized signatory resolution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Authorize submission and grant agreement.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Cannot execute award.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Bank account confirmation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Enable grant disbursement.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Payment delay or rejection.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Audited financial statements or management accounts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Demonstrate financial capacity.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Applicant/CFO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Weak capacity score.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Cash/in-kind match documentation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Prove co-funding.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Placeholder only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Budget may be rejected.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Project budget and budget narrative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Explain grant use of funds.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Prepared as placeholder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Applicant/Consultant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Needs quotes and eligibility mapping.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Procurement policy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Show fair purchasing and value for money.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Audit risk.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Conflict-of-interest policy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Prevent related-party misuse of funds.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Audit and integrity risk.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Timesheet and cost allocation policy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Support staff charges to grant.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Costs may be disallowed.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Data protection impact assessment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Assess personal/data risks.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CTO/Legal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Privacy non-compliance.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Cybersecurity plan and incident response plan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Protect platform and user data.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CTO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Security and trust risk.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Carbon integrity methodology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Define scoring, claims, safeguards.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Draft needed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Compliance Lead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Greenwashing risk.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Legal/regulatory memo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Assess trading, brokerage, AML/KYC, sanctions.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External counsel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Regulatory risk.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Letters of support / LOIs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Prove demand and delivery capacity.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Founder/Partnerships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Weak market validation.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Team resumes and role descriptions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Show capacity to deliver.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Weak management score.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Independent evaluator commitment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Support M&amp;E credibility.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Weak evaluation score.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Environmental/social safeguards and grievance mechanism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Protect communities and project integrity.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Applicant/Compliance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Safeguards risk.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Insurance certificates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Cover operational liability.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Contracting risk.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Subcontractor/vendor quotes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Support budget reasonableness.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Budget may be considered unsupported.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IP ownership and open/public outputs policy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Clarify rights to grant-funded outputs.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Applicant/Legal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Post-award dispute risk.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Anti-lobbying and anti-corruption certifications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Meet public funding conditions.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Applicant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Compliance failure.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Subsidy/state-aid/de minimis assessment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Assess public funding limits.</w:t>
            </w:r>
          </w:p>
        </w:tc>
        <w:tc>
          <w:tcPr>
            <w:tcW w:type="dxa" w:w="1728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Missing</w:t>
            </w:r>
          </w:p>
        </w:tc>
        <w:tc>
          <w:tcPr>
            <w:tcW w:type="dxa" w:w="1584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Legal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b w:val="0"/>
                <w:color w:val="0F172A"/>
                <w:sz w:val="14"/>
              </w:rPr>
              <w:t>Eligibility risk.</w:t>
            </w:r>
          </w:p>
        </w:tc>
      </w:tr>
    </w:tbl>
    <w:p>
      <w:pPr>
        <w:pStyle w:val="Heading2"/>
      </w:pPr>
      <w:r>
        <w:t>Compliance Positioning Notes</w:t>
      </w:r>
    </w:p>
    <w:p>
      <w:pPr>
        <w:pStyle w:val="ListBullet"/>
      </w:pPr>
      <w:r>
        <w:t>Grant funds must not be described as equity, investor return, dividends, or acquisition/IPO financing.</w:t>
      </w:r>
    </w:p>
    <w:p>
      <w:pPr>
        <w:pStyle w:val="ListBullet"/>
      </w:pPr>
      <w:r>
        <w:t>Advertising and general brand marketing should be reframed as eligible outreach, training, dissemination, or pilot recruitment only if the program permits those costs.</w:t>
      </w:r>
    </w:p>
    <w:p>
      <w:pPr>
        <w:pStyle w:val="ListBullet"/>
      </w:pPr>
      <w:r>
        <w:t>Any transaction workflow must be legally reviewed for AML/KYC, sanctions, financial services, payment, escrow, brokerage, commodities, and consumer protection issues.</w:t>
      </w:r>
    </w:p>
    <w:p>
      <w:pPr>
        <w:pStyle w:val="ListBullet"/>
      </w:pPr>
      <w:r>
        <w:t>Carbon claims must follow recognized integrity and claims frameworks and should be reviewed before publication.</w:t>
      </w:r>
    </w:p>
    <w:p>
      <w:pPr>
        <w:pStyle w:val="ListBullet"/>
      </w:pPr>
      <w:r>
        <w:t>All staff charges should be supported by timesheets and cost allocation records.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EcoConnect Global Ltd. | Grant-ready draft | May 19, 2026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4748B"/>
        <w:sz w:val="16"/>
      </w:rPr>
      <w:t>Compliance &amp; Required Documents Checklist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F766E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134E4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334155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